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72" w:rsidRPr="00F07D72" w:rsidRDefault="00F07D72" w:rsidP="00F07D72">
      <w:pPr>
        <w:keepNext/>
        <w:jc w:val="center"/>
        <w:outlineLvl w:val="0"/>
        <w:rPr>
          <w:rFonts w:eastAsia="Times New Roman" w:cs="Times New Roman"/>
          <w:b/>
          <w:sz w:val="32"/>
          <w:szCs w:val="32"/>
          <w:u w:val="single"/>
          <w:lang w:val="ru-RU" w:eastAsia="bg-BG"/>
        </w:rPr>
      </w:pPr>
      <w:bookmarkStart w:id="0" w:name="_Toc445756127"/>
      <w:r w:rsidRPr="00F07D72">
        <w:rPr>
          <w:rFonts w:eastAsia="Times New Roman" w:cs="Times New Roman"/>
          <w:b/>
          <w:sz w:val="32"/>
          <w:szCs w:val="32"/>
          <w:u w:val="single"/>
          <w:lang w:eastAsia="bg-BG"/>
        </w:rPr>
        <w:t xml:space="preserve">ПЪЛНО ОПИСАНИЕ НА ПРЕДМЕТА НА ОБЩЕСТВЕНАТА ПОРЪЧКА И </w:t>
      </w:r>
      <w:r w:rsidRPr="00F07D72">
        <w:rPr>
          <w:rFonts w:eastAsia="Times New Roman" w:cs="Times New Roman"/>
          <w:b/>
          <w:sz w:val="32"/>
          <w:szCs w:val="32"/>
          <w:u w:val="single"/>
          <w:lang w:val="ru-RU" w:eastAsia="bg-BG"/>
        </w:rPr>
        <w:t>ТЕХНИЧЕСКИ СПЕЦИФИКАЦИИ</w:t>
      </w:r>
      <w:bookmarkEnd w:id="0"/>
    </w:p>
    <w:p w:rsidR="00F07D72" w:rsidRPr="00F07D72" w:rsidRDefault="00F07D72" w:rsidP="00F07D72">
      <w:pPr>
        <w:rPr>
          <w:rFonts w:eastAsia="Calibri" w:cs="Times New Roman"/>
          <w:sz w:val="16"/>
          <w:szCs w:val="16"/>
        </w:rPr>
      </w:pPr>
      <w:bookmarkStart w:id="1" w:name="_Toc336337521"/>
      <w:bookmarkStart w:id="2" w:name="_Toc336338902"/>
      <w:bookmarkStart w:id="3" w:name="_Toc378156469"/>
      <w:bookmarkStart w:id="4" w:name="_Toc378621528"/>
      <w:bookmarkStart w:id="5" w:name="_Toc378623947"/>
      <w:bookmarkStart w:id="6" w:name="_Toc378624018"/>
      <w:bookmarkStart w:id="7" w:name="_Toc378624102"/>
    </w:p>
    <w:p w:rsidR="00F07D72" w:rsidRPr="00F07D72" w:rsidRDefault="00F07D72" w:rsidP="00F07D72">
      <w:pPr>
        <w:keepNext/>
        <w:spacing w:before="240" w:after="60"/>
        <w:outlineLvl w:val="1"/>
        <w:rPr>
          <w:rFonts w:eastAsia="Times New Roman" w:cs="Times New Roman"/>
          <w:b/>
          <w:bCs/>
          <w:i/>
          <w:iCs/>
          <w:sz w:val="28"/>
          <w:szCs w:val="28"/>
          <w:lang w:val="ru-RU"/>
        </w:rPr>
      </w:pPr>
      <w:bookmarkStart w:id="8" w:name="_Toc445756128"/>
      <w:bookmarkEnd w:id="1"/>
      <w:bookmarkEnd w:id="2"/>
      <w:bookmarkEnd w:id="3"/>
      <w:bookmarkEnd w:id="4"/>
      <w:bookmarkEnd w:id="5"/>
      <w:bookmarkEnd w:id="6"/>
      <w:bookmarkEnd w:id="7"/>
      <w:r w:rsidRPr="00F07D72">
        <w:rPr>
          <w:rFonts w:eastAsia="Times New Roman" w:cs="Times New Roman"/>
          <w:b/>
          <w:bCs/>
          <w:i/>
          <w:iCs/>
          <w:sz w:val="28"/>
          <w:szCs w:val="28"/>
          <w:lang w:val="ru-RU"/>
        </w:rPr>
        <w:t>І. ОБЩА ИНФОРМАЦИЯ</w:t>
      </w:r>
      <w:bookmarkEnd w:id="8"/>
    </w:p>
    <w:p w:rsidR="00F07D72" w:rsidRPr="00F07D72" w:rsidRDefault="00F07D72" w:rsidP="00F07D72">
      <w:pPr>
        <w:ind w:firstLine="708"/>
        <w:jc w:val="both"/>
        <w:rPr>
          <w:rFonts w:eastAsia="Calibri" w:cs="Times New Roman"/>
          <w:bCs/>
          <w:sz w:val="16"/>
          <w:szCs w:val="16"/>
        </w:rPr>
      </w:pPr>
    </w:p>
    <w:p w:rsidR="00F07D72" w:rsidRPr="00F07D72" w:rsidRDefault="00F07D72" w:rsidP="00F07D72">
      <w:pPr>
        <w:ind w:firstLine="708"/>
        <w:jc w:val="both"/>
        <w:rPr>
          <w:rFonts w:eastAsia="Calibri" w:cs="Times New Roman"/>
          <w:bCs/>
          <w:szCs w:val="24"/>
        </w:rPr>
      </w:pPr>
      <w:r w:rsidRPr="00F07D72">
        <w:rPr>
          <w:rFonts w:eastAsia="Calibri" w:cs="Times New Roman"/>
          <w:bCs/>
          <w:szCs w:val="24"/>
        </w:rPr>
        <w:t>Община Русе има намерение да изгради компостираща инсталация за биоразградими отпадъци, чрез финансиране по Процедура за избор на проектни предложения BG16M10P002-2.001 по ОП „Околна среда 2014-2020“. Условията, на които трябва да отговаря проектното предложение са обявени в Насоки за кандидатстване</w:t>
      </w:r>
      <w:r w:rsidRPr="00F07D72">
        <w:rPr>
          <w:rFonts w:eastAsia="Calibri" w:cs="Times New Roman"/>
          <w:szCs w:val="24"/>
        </w:rPr>
        <w:t xml:space="preserve"> за „</w:t>
      </w:r>
      <w:r w:rsidRPr="00F07D72">
        <w:rPr>
          <w:rFonts w:eastAsia="Calibri" w:cs="Times New Roman"/>
          <w:i/>
          <w:szCs w:val="24"/>
        </w:rPr>
        <w:t>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sidRPr="00F07D72">
        <w:rPr>
          <w:rFonts w:eastAsia="Calibri" w:cs="Times New Roman"/>
          <w:szCs w:val="24"/>
        </w:rPr>
        <w:t>"</w:t>
      </w:r>
      <w:r w:rsidRPr="00F07D72">
        <w:rPr>
          <w:rFonts w:eastAsia="Calibri" w:cs="Times New Roman"/>
          <w:bCs/>
          <w:szCs w:val="24"/>
        </w:rPr>
        <w:t xml:space="preserve"> на страницата на оперативната програма.</w:t>
      </w:r>
      <w:r w:rsidRPr="00F07D72">
        <w:rPr>
          <w:rFonts w:eastAsia="Calibri" w:cs="Times New Roman"/>
          <w:bCs/>
          <w:szCs w:val="24"/>
          <w:vertAlign w:val="superscript"/>
        </w:rPr>
        <w:footnoteReference w:id="1"/>
      </w:r>
      <w:r w:rsidRPr="00F07D72">
        <w:rPr>
          <w:rFonts w:eastAsia="Calibri" w:cs="Times New Roman"/>
          <w:bCs/>
          <w:szCs w:val="24"/>
        </w:rPr>
        <w:t xml:space="preserve"> </w:t>
      </w:r>
    </w:p>
    <w:p w:rsidR="00F07D72" w:rsidRPr="00F07D72" w:rsidRDefault="00F07D72" w:rsidP="00F07D72">
      <w:pPr>
        <w:jc w:val="both"/>
        <w:rPr>
          <w:rFonts w:eastAsia="Calibri" w:cs="Times New Roman"/>
          <w:bCs/>
          <w:szCs w:val="24"/>
        </w:rPr>
      </w:pPr>
    </w:p>
    <w:p w:rsidR="00F07D72" w:rsidRPr="00F07D72" w:rsidRDefault="00F07D72" w:rsidP="00F07D72">
      <w:pPr>
        <w:ind w:firstLine="708"/>
        <w:jc w:val="both"/>
        <w:rPr>
          <w:rFonts w:eastAsia="Calibri" w:cs="Times New Roman"/>
          <w:bCs/>
          <w:szCs w:val="24"/>
        </w:rPr>
      </w:pPr>
      <w:r w:rsidRPr="00F07D72">
        <w:rPr>
          <w:rFonts w:eastAsia="Calibri" w:cs="Times New Roman"/>
          <w:bCs/>
          <w:szCs w:val="24"/>
        </w:rPr>
        <w:t>Основната цел на  кандидатстването за безвъзмездна финансова помощ по процедурата е подпомагане изпълнението на специфичната цел за намаляване на количеството депонирани зелени и/или биоразградими битови отпадъци чрез разделното им събиране и рециклиране. Под „рециклиране“ следва да се разбира всяка дейност по оползотворяване, посредством която отпадъчните материали се преработват в продукти, материали или вещества, за първоначалната им цел или за други цели.</w:t>
      </w:r>
      <w:r w:rsidRPr="00F07D72">
        <w:rPr>
          <w:rFonts w:eastAsia="Calibri" w:cs="Times New Roman"/>
          <w:szCs w:val="24"/>
        </w:rPr>
        <w:t xml:space="preserve"> </w:t>
      </w:r>
      <w:r w:rsidRPr="00F07D72">
        <w:rPr>
          <w:rFonts w:eastAsia="Calibri" w:cs="Times New Roman"/>
          <w:bCs/>
          <w:szCs w:val="24"/>
        </w:rPr>
        <w:t>Въвеждането в експлоатация на тази инсталация ще доведе до намаляване на количествата на депонираните биоразградими битови отпадъци, както и до по-ефективно използване на отпадъците като ресурс. Чрез изпълнение на мерките по процедурата ще се подпомогне постигането на националните цели, заложени в българската нормативна уредба и в НПУО, за ограничаване количеството на депонираните биоразградими отпадъци до 2020 г. до 35% от общото количество на същите отпадъци, образувани към 1995 г., и за увеличаване до края на 2020 г. на дела разделно събрани и оползотворени битови биоотпадъци на ниво регион до не по-малко от 50 % от количеството на битовите биоотпадъци, образувани в региона през 2014 г.</w:t>
      </w:r>
    </w:p>
    <w:p w:rsidR="00F07D72" w:rsidRPr="00F07D72" w:rsidRDefault="00F07D72" w:rsidP="00F07D72">
      <w:pPr>
        <w:jc w:val="both"/>
        <w:rPr>
          <w:rFonts w:eastAsia="Calibri" w:cs="Times New Roman"/>
          <w:bCs/>
          <w:szCs w:val="24"/>
        </w:rPr>
      </w:pPr>
    </w:p>
    <w:p w:rsidR="00F07D72" w:rsidRPr="00F07D72" w:rsidRDefault="00F07D72" w:rsidP="00F07D72">
      <w:pPr>
        <w:keepNext/>
        <w:spacing w:before="240" w:after="60"/>
        <w:outlineLvl w:val="1"/>
        <w:rPr>
          <w:rFonts w:eastAsia="Times New Roman" w:cs="Times New Roman"/>
          <w:b/>
          <w:bCs/>
          <w:i/>
          <w:iCs/>
          <w:sz w:val="28"/>
          <w:szCs w:val="28"/>
          <w:lang w:val="ru-RU"/>
        </w:rPr>
      </w:pPr>
      <w:bookmarkStart w:id="9" w:name="_Toc445756129"/>
      <w:r w:rsidRPr="00F07D72">
        <w:rPr>
          <w:rFonts w:eastAsia="Times New Roman" w:cs="Times New Roman"/>
          <w:b/>
          <w:bCs/>
          <w:i/>
          <w:iCs/>
          <w:sz w:val="28"/>
          <w:szCs w:val="28"/>
          <w:lang w:val="ru-RU"/>
        </w:rPr>
        <w:t>ІІ. ОБХВАТ, ЦЕЛИ И ПОДХОД</w:t>
      </w:r>
      <w:bookmarkEnd w:id="9"/>
    </w:p>
    <w:p w:rsidR="00F07D72" w:rsidRPr="00F07D72" w:rsidRDefault="00F07D72" w:rsidP="00F07D72">
      <w:pPr>
        <w:keepNext/>
        <w:spacing w:before="240" w:after="60"/>
        <w:outlineLvl w:val="1"/>
        <w:rPr>
          <w:rFonts w:eastAsia="Times New Roman" w:cs="Times New Roman"/>
          <w:b/>
          <w:bCs/>
          <w:i/>
          <w:iCs/>
          <w:sz w:val="28"/>
          <w:szCs w:val="28"/>
          <w:lang w:val="ru-RU"/>
        </w:rPr>
      </w:pPr>
    </w:p>
    <w:p w:rsidR="00F07D72" w:rsidRPr="00F07D72" w:rsidRDefault="00F07D72" w:rsidP="00F07D72">
      <w:pPr>
        <w:ind w:firstLine="708"/>
        <w:jc w:val="both"/>
        <w:rPr>
          <w:rFonts w:eastAsia="Calibri" w:cs="Times New Roman"/>
          <w:bCs/>
          <w:szCs w:val="24"/>
        </w:rPr>
      </w:pPr>
      <w:r w:rsidRPr="00F07D72">
        <w:rPr>
          <w:rFonts w:eastAsia="Calibri" w:cs="Times New Roman"/>
          <w:bCs/>
          <w:szCs w:val="24"/>
        </w:rPr>
        <w:t>Целта на настоящата поръчка е да бъдат изпълнени дейности, необходими за подготовката на проектно предложение за изграждане на компостираща инсталация, съгласно публикуваните на страницата на Министерство на околната среда и водите Насоки за кандидатстване по процедура BG16M10P002-2.001 и разясненията по постъпили въпроси.</w:t>
      </w:r>
    </w:p>
    <w:p w:rsidR="00F07D72" w:rsidRPr="00F07D72" w:rsidRDefault="00F07D72" w:rsidP="00F07D72">
      <w:pPr>
        <w:ind w:firstLine="360"/>
        <w:jc w:val="both"/>
        <w:rPr>
          <w:rFonts w:eastAsia="Calibri" w:cs="Times New Roman"/>
          <w:szCs w:val="24"/>
        </w:rPr>
      </w:pPr>
    </w:p>
    <w:p w:rsidR="00F07D72" w:rsidRPr="00F07D72" w:rsidRDefault="00F07D72" w:rsidP="00F07D72">
      <w:pPr>
        <w:jc w:val="both"/>
        <w:rPr>
          <w:rFonts w:eastAsia="Calibri" w:cs="Times New Roman"/>
          <w:b/>
          <w:bCs/>
          <w:szCs w:val="24"/>
          <w:lang w:val="ru-RU"/>
        </w:rPr>
      </w:pPr>
      <w:r w:rsidRPr="00F07D72">
        <w:rPr>
          <w:rFonts w:eastAsia="Calibri" w:cs="Times New Roman"/>
          <w:b/>
          <w:bCs/>
          <w:szCs w:val="24"/>
          <w:lang w:val="ru-RU"/>
        </w:rPr>
        <w:t>Очаквани резултати от изпълнение на дейностите в обхвата на поръчката:</w:t>
      </w:r>
    </w:p>
    <w:p w:rsidR="00F07D72" w:rsidRPr="00F07D72" w:rsidRDefault="00F07D72" w:rsidP="00F07D72">
      <w:pPr>
        <w:numPr>
          <w:ilvl w:val="0"/>
          <w:numId w:val="2"/>
        </w:numPr>
        <w:spacing w:after="160" w:line="259" w:lineRule="auto"/>
        <w:jc w:val="both"/>
        <w:rPr>
          <w:rFonts w:eastAsia="Calibri" w:cs="Times New Roman"/>
          <w:szCs w:val="24"/>
          <w:lang w:val="ru-RU"/>
        </w:rPr>
      </w:pPr>
      <w:r w:rsidRPr="00F07D72">
        <w:rPr>
          <w:rFonts w:eastAsia="Calibri" w:cs="Times New Roman"/>
          <w:szCs w:val="24"/>
          <w:lang w:val="ru-RU"/>
        </w:rPr>
        <w:t>Изготвен ПИП и избрана на алтернатива за изграждане на компостираща инсталация;</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szCs w:val="24"/>
          <w:lang w:val="ru-RU"/>
        </w:rPr>
        <w:t>Изготвен идеен инвестиционен проект;</w:t>
      </w:r>
      <w:r w:rsidRPr="00F07D72">
        <w:rPr>
          <w:rFonts w:eastAsia="Calibri" w:cs="Times New Roman"/>
          <w:bCs/>
          <w:szCs w:val="24"/>
          <w:lang w:val="ru-RU"/>
        </w:rPr>
        <w:t xml:space="preserve"> </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bCs/>
          <w:szCs w:val="24"/>
          <w:lang w:val="ru-RU"/>
        </w:rPr>
        <w:lastRenderedPageBreak/>
        <w:t xml:space="preserve">Изготвeно Уведомление за инвестиционното предложение за преценяване на необходимостта от ОВОС; </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bCs/>
          <w:szCs w:val="24"/>
          <w:lang w:val="ru-RU"/>
        </w:rPr>
        <w:t>Изготвен План за използване на получения краен продукт;</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bCs/>
          <w:szCs w:val="24"/>
          <w:lang w:val="ru-RU"/>
        </w:rPr>
        <w:t>Изготвена Схема за контрол на качеството на компоста;</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bCs/>
          <w:szCs w:val="24"/>
          <w:lang w:val="ru-RU"/>
        </w:rPr>
        <w:t>Изготвен План за третиране на остатъчния отпадък;</w:t>
      </w:r>
    </w:p>
    <w:p w:rsidR="00F07D72" w:rsidRPr="00F07D72" w:rsidRDefault="00F07D72" w:rsidP="00F07D72">
      <w:pPr>
        <w:numPr>
          <w:ilvl w:val="0"/>
          <w:numId w:val="2"/>
        </w:numPr>
        <w:spacing w:after="160" w:line="259" w:lineRule="auto"/>
        <w:jc w:val="both"/>
        <w:rPr>
          <w:rFonts w:eastAsia="Calibri" w:cs="Times New Roman"/>
          <w:bCs/>
          <w:szCs w:val="24"/>
          <w:lang w:val="ru-RU"/>
        </w:rPr>
      </w:pPr>
      <w:r w:rsidRPr="00F07D72">
        <w:rPr>
          <w:rFonts w:eastAsia="Calibri" w:cs="Times New Roman"/>
          <w:bCs/>
          <w:szCs w:val="24"/>
          <w:lang w:val="ru-RU"/>
        </w:rPr>
        <w:t xml:space="preserve">Изготвен анализ разходи-ползи; </w:t>
      </w:r>
    </w:p>
    <w:p w:rsidR="00F07D72" w:rsidRPr="00F07D72" w:rsidRDefault="00F07D72" w:rsidP="00F07D72">
      <w:pPr>
        <w:numPr>
          <w:ilvl w:val="0"/>
          <w:numId w:val="2"/>
        </w:numPr>
        <w:spacing w:after="160" w:line="259" w:lineRule="auto"/>
        <w:jc w:val="both"/>
        <w:rPr>
          <w:rFonts w:eastAsia="Calibri" w:cs="Times New Roman"/>
          <w:szCs w:val="24"/>
          <w:lang w:val="ru-RU"/>
        </w:rPr>
      </w:pPr>
      <w:r w:rsidRPr="00F07D72">
        <w:rPr>
          <w:rFonts w:eastAsia="Calibri" w:cs="Times New Roman"/>
          <w:bCs/>
          <w:szCs w:val="24"/>
          <w:lang w:val="ru-RU"/>
        </w:rPr>
        <w:t>Подготвени тръжни документации за избор на изпълнители на дейностите, включени в обхвата на проектното предложение;</w:t>
      </w:r>
      <w:r w:rsidRPr="00F07D72">
        <w:rPr>
          <w:rFonts w:eastAsia="Calibri" w:cs="Times New Roman"/>
          <w:szCs w:val="24"/>
          <w:lang w:val="ru-RU"/>
        </w:rPr>
        <w:t xml:space="preserve"> </w:t>
      </w:r>
    </w:p>
    <w:p w:rsidR="00F07D72" w:rsidRPr="00F07D72" w:rsidRDefault="00F07D72" w:rsidP="00F07D72">
      <w:pPr>
        <w:numPr>
          <w:ilvl w:val="0"/>
          <w:numId w:val="2"/>
        </w:numPr>
        <w:spacing w:after="160" w:line="259" w:lineRule="auto"/>
        <w:jc w:val="both"/>
        <w:rPr>
          <w:rFonts w:eastAsia="Calibri" w:cs="Times New Roman"/>
          <w:szCs w:val="24"/>
          <w:lang w:val="ru-RU"/>
        </w:rPr>
      </w:pPr>
      <w:r w:rsidRPr="00F07D72">
        <w:rPr>
          <w:rFonts w:eastAsia="Calibri" w:cs="Times New Roman"/>
          <w:szCs w:val="24"/>
          <w:lang w:val="ru-RU"/>
        </w:rPr>
        <w:t>Изготвен правен анализ на алтернативите за експлоатация на изграденото съоръжение по отношение приложимите режими на държавни помощи и индивидуализирани  стандартизирани образци на документи, публикувани от УО (проекти на решение на общинския съвет за създаване на общинско предприятие, договор с дружество с общинско участие в капитала или договор за обществена поръчка), съобразени с изискванията за предоставяне на компенсация за извършване на УОИИ</w:t>
      </w:r>
      <w:r w:rsidRPr="00F07D72">
        <w:rPr>
          <w:rFonts w:eastAsia="Calibri" w:cs="Times New Roman"/>
          <w:szCs w:val="24"/>
        </w:rPr>
        <w:t>;</w:t>
      </w:r>
    </w:p>
    <w:p w:rsidR="00F07D72" w:rsidRPr="00F07D72" w:rsidRDefault="00F07D72" w:rsidP="00F07D72">
      <w:pPr>
        <w:jc w:val="both"/>
        <w:rPr>
          <w:rFonts w:eastAsia="Calibri" w:cs="Times New Roman"/>
          <w:szCs w:val="24"/>
          <w:lang w:val="ru-RU"/>
        </w:rPr>
      </w:pPr>
    </w:p>
    <w:p w:rsidR="00F07D72" w:rsidRPr="00F07D72" w:rsidRDefault="00F07D72" w:rsidP="00F07D72">
      <w:pPr>
        <w:keepNext/>
        <w:spacing w:before="240" w:after="60"/>
        <w:outlineLvl w:val="1"/>
        <w:rPr>
          <w:rFonts w:eastAsia="Times New Roman" w:cs="Times New Roman"/>
          <w:b/>
          <w:bCs/>
          <w:i/>
          <w:iCs/>
          <w:sz w:val="28"/>
          <w:szCs w:val="28"/>
          <w:lang w:val="ru-RU"/>
        </w:rPr>
      </w:pPr>
      <w:bookmarkStart w:id="10" w:name="_Toc445756130"/>
      <w:r w:rsidRPr="00F07D72">
        <w:rPr>
          <w:rFonts w:eastAsia="Times New Roman" w:cs="Times New Roman"/>
          <w:b/>
          <w:bCs/>
          <w:i/>
          <w:iCs/>
          <w:sz w:val="28"/>
          <w:szCs w:val="28"/>
          <w:lang w:val="ru-RU"/>
        </w:rPr>
        <w:t>ІІІ. ДЕЙНОСТИ</w:t>
      </w:r>
      <w:bookmarkEnd w:id="10"/>
    </w:p>
    <w:p w:rsidR="00F07D72" w:rsidRPr="00F07D72" w:rsidRDefault="00F07D72" w:rsidP="00F07D72">
      <w:pPr>
        <w:jc w:val="center"/>
        <w:rPr>
          <w:rFonts w:eastAsia="Calibri" w:cs="Times New Roman"/>
          <w:b/>
          <w:bCs/>
          <w:szCs w:val="24"/>
          <w:lang w:val="ru-RU"/>
        </w:rPr>
      </w:pPr>
    </w:p>
    <w:p w:rsidR="00F07D72" w:rsidRPr="00F07D72" w:rsidRDefault="00F07D72" w:rsidP="00F07D72">
      <w:pPr>
        <w:ind w:firstLine="357"/>
        <w:jc w:val="both"/>
        <w:rPr>
          <w:rFonts w:eastAsia="Calibri" w:cs="Times New Roman"/>
          <w:noProof/>
          <w:szCs w:val="24"/>
          <w:lang w:val="ru-RU"/>
        </w:rPr>
      </w:pPr>
      <w:r w:rsidRPr="00F07D72">
        <w:rPr>
          <w:rFonts w:eastAsia="Calibri" w:cs="Times New Roman"/>
          <w:szCs w:val="24"/>
        </w:rPr>
        <w:t xml:space="preserve">Настоящата поръчка включва </w:t>
      </w:r>
      <w:r w:rsidRPr="00F07D72">
        <w:rPr>
          <w:rFonts w:eastAsia="Calibri" w:cs="Times New Roman"/>
          <w:b/>
          <w:szCs w:val="24"/>
        </w:rPr>
        <w:t>следните дейности</w:t>
      </w:r>
      <w:r w:rsidRPr="00F07D72">
        <w:rPr>
          <w:rFonts w:eastAsia="Calibri" w:cs="Times New Roman"/>
          <w:szCs w:val="24"/>
        </w:rPr>
        <w:t>, които следва да бъдат извършени преди кандидатстването за финансиране по ОП „Околна среда 2014-2020г“:</w:t>
      </w:r>
      <w:r w:rsidRPr="00F07D72">
        <w:rPr>
          <w:rFonts w:eastAsia="Calibri" w:cs="Times New Roman"/>
          <w:noProof/>
          <w:szCs w:val="24"/>
          <w:lang w:val="ru-RU"/>
        </w:rPr>
        <w:t xml:space="preserve"> </w:t>
      </w:r>
    </w:p>
    <w:p w:rsidR="00F07D72" w:rsidRPr="00F07D72" w:rsidRDefault="00F07D72" w:rsidP="00F07D72">
      <w:pPr>
        <w:ind w:firstLine="357"/>
        <w:jc w:val="both"/>
        <w:rPr>
          <w:rFonts w:eastAsia="MS Gothic" w:cs="Times New Roman"/>
          <w:b/>
          <w:bCs/>
          <w:szCs w:val="24"/>
          <w:lang w:val="ru-RU" w:eastAsia="bg-BG"/>
        </w:rPr>
      </w:pPr>
    </w:p>
    <w:p w:rsidR="00F07D72" w:rsidRPr="00F07D72" w:rsidRDefault="00F07D72" w:rsidP="00F07D72">
      <w:pPr>
        <w:ind w:firstLine="357"/>
        <w:jc w:val="both"/>
        <w:rPr>
          <w:rFonts w:eastAsia="MS Gothic" w:cs="Times New Roman"/>
          <w:b/>
          <w:bCs/>
          <w:szCs w:val="24"/>
          <w:lang w:val="ru-RU" w:eastAsia="bg-BG"/>
        </w:rPr>
      </w:pPr>
      <w:r w:rsidRPr="00F07D72">
        <w:rPr>
          <w:rFonts w:eastAsia="MS Gothic" w:cs="Times New Roman"/>
          <w:b/>
          <w:bCs/>
          <w:szCs w:val="24"/>
          <w:lang w:val="ru-RU" w:eastAsia="bg-BG"/>
        </w:rPr>
        <w:t>Дейност 1 Подготовка на Прединвестиционно проучване (ПИП)</w:t>
      </w:r>
    </w:p>
    <w:p w:rsidR="00F07D72" w:rsidRPr="00F07D72" w:rsidRDefault="00F07D72" w:rsidP="00F07D72">
      <w:pPr>
        <w:ind w:firstLine="357"/>
        <w:jc w:val="both"/>
        <w:rPr>
          <w:rFonts w:eastAsia="MS Gothic" w:cs="Times New Roman"/>
          <w:b/>
          <w:bCs/>
          <w:szCs w:val="24"/>
          <w:lang w:val="ru-RU" w:eastAsia="bg-BG"/>
        </w:rPr>
      </w:pPr>
    </w:p>
    <w:p w:rsidR="00F07D72" w:rsidRPr="00F07D72" w:rsidRDefault="00F07D72" w:rsidP="00F07D72">
      <w:pPr>
        <w:ind w:firstLine="357"/>
        <w:jc w:val="both"/>
        <w:rPr>
          <w:rFonts w:eastAsia="Calibri" w:cs="Times New Roman"/>
          <w:szCs w:val="24"/>
        </w:rPr>
      </w:pPr>
      <w:r w:rsidRPr="00F07D72">
        <w:rPr>
          <w:rFonts w:eastAsia="Calibri" w:cs="Times New Roman"/>
          <w:bCs/>
          <w:szCs w:val="24"/>
          <w:lang w:val="ru-RU"/>
        </w:rPr>
        <w:t>Минимално съдържание е съгласно глава втора на Наредба № 4 от 21 май 2001 г. за обхвата и съдържанието на инвестиционните проекти или съгласно изготвени от УО указания, публикувани на интернет страницата на ОПОС 2014-2020 г..</w:t>
      </w:r>
      <w:r w:rsidRPr="00F07D72">
        <w:rPr>
          <w:rFonts w:eastAsia="Calibri" w:cs="Times New Roman"/>
          <w:szCs w:val="24"/>
        </w:rPr>
        <w:t xml:space="preserve"> </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В допълнение изготвеното прединвестиционно проучване следва да доказва необходимостта от допълнителна инфраструктура в региона за постигане на целите за рециклиране и оползотворяване на отпадъците, в т.ч. по потоци отпадъци, както и да съдържа анализ за това кой подход е по-ефективен – обща за целия регион или за част от региона инфраструктура или поотделно за всяка община от РСУО.</w:t>
      </w:r>
    </w:p>
    <w:p w:rsidR="00F07D72" w:rsidRPr="00F07D72" w:rsidRDefault="00F07D72" w:rsidP="00F07D72">
      <w:pPr>
        <w:ind w:firstLine="357"/>
        <w:jc w:val="both"/>
        <w:rPr>
          <w:rFonts w:eastAsia="Calibri" w:cs="Times New Roman"/>
          <w:bCs/>
          <w:szCs w:val="24"/>
          <w:lang w:val="ru-RU"/>
        </w:rPr>
      </w:pPr>
    </w:p>
    <w:p w:rsidR="00F07D72" w:rsidRPr="00F07D72" w:rsidRDefault="00F07D72" w:rsidP="00F07D72">
      <w:pPr>
        <w:autoSpaceDE w:val="0"/>
        <w:autoSpaceDN w:val="0"/>
        <w:adjustRightInd w:val="0"/>
        <w:jc w:val="both"/>
        <w:rPr>
          <w:rFonts w:eastAsia="Calibri" w:cs="Times New Roman"/>
          <w:color w:val="000000"/>
          <w:szCs w:val="24"/>
          <w:lang w:val="en-US"/>
        </w:rPr>
      </w:pPr>
      <w:r w:rsidRPr="00F07D72">
        <w:rPr>
          <w:rFonts w:eastAsia="Calibri" w:cs="Times New Roman"/>
          <w:bCs/>
          <w:szCs w:val="24"/>
          <w:lang w:val="ru-RU"/>
        </w:rPr>
        <w:t xml:space="preserve">Предварителното (прединвестиционно) проучвание следва да обхване изясняване на инвестиционното строително намерение.  </w:t>
      </w:r>
      <w:r w:rsidRPr="00F07D72">
        <w:rPr>
          <w:rFonts w:eastAsia="Calibri" w:cs="Times New Roman"/>
          <w:color w:val="000000"/>
          <w:szCs w:val="24"/>
        </w:rPr>
        <w:t xml:space="preserve">Инвестиционното намерение трябва да се ограничи до една от </w:t>
      </w:r>
      <w:r w:rsidRPr="00F07D72">
        <w:rPr>
          <w:rFonts w:eastAsia="Calibri" w:cs="Times New Roman"/>
          <w:color w:val="000000"/>
          <w:szCs w:val="24"/>
          <w:lang w:val="en-US"/>
        </w:rPr>
        <w:t xml:space="preserve"> </w:t>
      </w:r>
      <w:r w:rsidRPr="00F07D72">
        <w:rPr>
          <w:rFonts w:eastAsia="Calibri" w:cs="Times New Roman"/>
          <w:color w:val="000000"/>
          <w:szCs w:val="24"/>
        </w:rPr>
        <w:t xml:space="preserve">следните </w:t>
      </w:r>
      <w:r w:rsidRPr="00F07D72">
        <w:rPr>
          <w:rFonts w:eastAsia="Calibri" w:cs="Times New Roman"/>
          <w:color w:val="000000"/>
          <w:szCs w:val="24"/>
          <w:lang w:val="en-US"/>
        </w:rPr>
        <w:t xml:space="preserve">видове инсталации за открито компостиране: </w:t>
      </w:r>
    </w:p>
    <w:p w:rsidR="00F07D72" w:rsidRPr="00F07D72" w:rsidRDefault="00F07D72" w:rsidP="00F07D72">
      <w:pPr>
        <w:autoSpaceDE w:val="0"/>
        <w:autoSpaceDN w:val="0"/>
        <w:adjustRightInd w:val="0"/>
        <w:jc w:val="both"/>
        <w:rPr>
          <w:rFonts w:eastAsia="Calibri" w:cs="Times New Roman"/>
          <w:color w:val="000000"/>
          <w:szCs w:val="24"/>
          <w:lang w:val="en-US"/>
        </w:rPr>
      </w:pPr>
      <w:r w:rsidRPr="00F07D72">
        <w:rPr>
          <w:rFonts w:eastAsia="Calibri" w:cs="Times New Roman"/>
          <w:color w:val="000000"/>
          <w:szCs w:val="24"/>
          <w:lang w:val="en-US"/>
        </w:rPr>
        <w:t xml:space="preserve">- Система за компостиране в редове без аерация или </w:t>
      </w:r>
    </w:p>
    <w:p w:rsidR="00F07D72" w:rsidRPr="00F07D72" w:rsidRDefault="00F07D72" w:rsidP="00F07D72">
      <w:pPr>
        <w:autoSpaceDE w:val="0"/>
        <w:autoSpaceDN w:val="0"/>
        <w:adjustRightInd w:val="0"/>
        <w:jc w:val="both"/>
        <w:rPr>
          <w:rFonts w:eastAsia="Calibri" w:cs="Times New Roman"/>
          <w:color w:val="000000"/>
          <w:szCs w:val="24"/>
          <w:lang w:val="en-US"/>
        </w:rPr>
      </w:pPr>
      <w:r w:rsidRPr="00F07D72">
        <w:rPr>
          <w:rFonts w:eastAsia="Calibri" w:cs="Times New Roman"/>
          <w:color w:val="000000"/>
          <w:szCs w:val="24"/>
          <w:lang w:val="en-US"/>
        </w:rPr>
        <w:t xml:space="preserve">-Системи за компостиране в открити или покрити редове с улеи и принудителна аерация или </w:t>
      </w:r>
    </w:p>
    <w:p w:rsidR="00F07D72" w:rsidRPr="00F07D72" w:rsidRDefault="00F07D72" w:rsidP="00F07D72">
      <w:pPr>
        <w:jc w:val="both"/>
        <w:rPr>
          <w:rFonts w:eastAsia="Calibri" w:cs="Times New Roman"/>
          <w:bCs/>
          <w:szCs w:val="24"/>
          <w:lang w:val="en-US"/>
        </w:rPr>
      </w:pPr>
      <w:r w:rsidRPr="00F07D72">
        <w:rPr>
          <w:rFonts w:eastAsia="Calibri" w:cs="Times New Roman"/>
          <w:szCs w:val="24"/>
        </w:rPr>
        <w:t>- Системи за компостиране в открити клетки с или без навес.</w:t>
      </w:r>
    </w:p>
    <w:p w:rsidR="00F07D72" w:rsidRPr="00F07D72" w:rsidRDefault="00F07D72" w:rsidP="00F07D72">
      <w:pPr>
        <w:ind w:left="357"/>
        <w:jc w:val="both"/>
        <w:rPr>
          <w:rFonts w:eastAsia="Calibri" w:cs="Times New Roman"/>
          <w:bCs/>
          <w:szCs w:val="24"/>
          <w:lang w:val="en-US"/>
        </w:rPr>
      </w:pP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2. проучвания за определяне на подходящо местоположение на обекта и на условията за застрояване съобразно предвижданията на устройствените планове;</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lastRenderedPageBreak/>
        <w:t>3. инженерни проучвания, в т.ч. геоложки, геотехнически, хидрогеоложки, хидроложки и др., като съдържанието им се определя в зависимост от местоположението, вида, характера и спецификата на обекта;</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4. проучвания и документиране за нуждите на инвестиционното проектиране на обекти - недвижими културни ценности;</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5. геодезически проучвания;</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6. технологични проучвания за избор на оферта, предлагаща оптимална технология - за обекти, при които технологичното решение е определящо;</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7.технико-икономическа обосновка за определяне на икономическата целесъобразност и ефективност на инвестиционното строително намерение, в т.ч. за избор на подходящ негов вариант;</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8. обосновка на социалната целесъобразност и ефективност на инвестиционната инициатива, в т.ч. откриване на работни места и осигуряване на обществени услуги;</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9. проучвания за потенциала на териториите с особена и превантивна устройствена защита във връзка с режимите за опазване на териториите за природозащита и на обектите на културно-историческото наследство;</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10. вариантни проучвания за рехабилитация на съществуващи и за изграждане на нови енергийни мощности;</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11. специфични проучвания при реконструкция, пристрояване и надстрояване на съществуващи сгради, в т.ч. архитектурно и конструктивно заснемане на сградите и изследване на техническата инфраструктура;</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12. микросеизмично изследване - за енергийни, хидротехнически, транспортни и други специфични обекти;</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13. други специфични проучвания, налагащи се от вида и спецификата на отделните строежи, като климатични, водностопански, почвено-мелиоративни, аграрно-икономически и земеустройствени проучвания - при проекти на хидромелиоративни системи, проекти за противосвлачищни и брегоукрепителни съоръжения и др.;</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14. прогнозен график за продължителност на строителството от откриване на строителна площадка и определяне на строителна линия и ниво до предаване на обекта от строителя на възложителя с акт образец 15;</w:t>
      </w: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15. прогнозна стойност на строителното намерение.</w:t>
      </w:r>
    </w:p>
    <w:p w:rsidR="00F07D72" w:rsidRPr="00F07D72" w:rsidRDefault="00F07D72" w:rsidP="00F07D72">
      <w:pPr>
        <w:ind w:firstLine="357"/>
        <w:jc w:val="both"/>
        <w:rPr>
          <w:rFonts w:eastAsia="Calibri" w:cs="Times New Roman"/>
          <w:bCs/>
          <w:szCs w:val="24"/>
          <w:lang w:val="ru-RU"/>
        </w:rPr>
      </w:pP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Въз основа на изготвения ПИП, изпълнителят следва да изготви ПУП.</w:t>
      </w:r>
    </w:p>
    <w:p w:rsidR="00F07D72" w:rsidRPr="00F07D72" w:rsidRDefault="00F07D72" w:rsidP="00F07D72">
      <w:pPr>
        <w:ind w:left="708"/>
        <w:rPr>
          <w:rFonts w:eastAsia="Calibri" w:cs="Times New Roman"/>
          <w:bCs/>
          <w:szCs w:val="24"/>
        </w:rPr>
      </w:pPr>
    </w:p>
    <w:p w:rsidR="00F07D72" w:rsidRPr="00F07D72" w:rsidRDefault="00F07D72" w:rsidP="00F07D72">
      <w:pPr>
        <w:ind w:firstLine="357"/>
        <w:jc w:val="both"/>
        <w:rPr>
          <w:rFonts w:eastAsia="Calibri" w:cs="Times New Roman"/>
          <w:bCs/>
          <w:szCs w:val="24"/>
        </w:rPr>
      </w:pPr>
      <w:r w:rsidRPr="00F07D72">
        <w:rPr>
          <w:rFonts w:eastAsia="Calibri" w:cs="Times New Roman"/>
          <w:bCs/>
          <w:szCs w:val="24"/>
        </w:rPr>
        <w:t>Базовите документи, спрямо които Консултантът следва да подготви ПИП, са:</w:t>
      </w:r>
    </w:p>
    <w:p w:rsidR="00F07D72" w:rsidRPr="00F07D72" w:rsidRDefault="00F07D72" w:rsidP="00F07D72">
      <w:pPr>
        <w:rPr>
          <w:rFonts w:eastAsia="Calibri" w:cs="Times New Roman"/>
          <w:bCs/>
          <w:szCs w:val="24"/>
        </w:rPr>
      </w:pPr>
    </w:p>
    <w:p w:rsidR="00F07D72" w:rsidRPr="00F07D72" w:rsidRDefault="00F07D72" w:rsidP="00F07D72">
      <w:pPr>
        <w:numPr>
          <w:ilvl w:val="0"/>
          <w:numId w:val="3"/>
        </w:numPr>
        <w:spacing w:after="160" w:line="259" w:lineRule="auto"/>
        <w:jc w:val="both"/>
        <w:rPr>
          <w:rFonts w:eastAsia="Calibri" w:cs="Times New Roman"/>
          <w:bCs/>
          <w:szCs w:val="24"/>
        </w:rPr>
      </w:pPr>
      <w:r w:rsidRPr="00F07D72">
        <w:rPr>
          <w:rFonts w:eastAsia="Calibri" w:cs="Times New Roman"/>
          <w:bCs/>
          <w:szCs w:val="24"/>
        </w:rPr>
        <w:t>Общинска програма за управление на отпадъците за периода 2015-2020г.;</w:t>
      </w:r>
    </w:p>
    <w:p w:rsidR="00F07D72" w:rsidRPr="00F07D72" w:rsidRDefault="00F07D72" w:rsidP="00F07D72">
      <w:pPr>
        <w:numPr>
          <w:ilvl w:val="0"/>
          <w:numId w:val="3"/>
        </w:numPr>
        <w:spacing w:after="160" w:line="259" w:lineRule="auto"/>
        <w:jc w:val="both"/>
        <w:rPr>
          <w:rFonts w:eastAsia="Calibri" w:cs="Times New Roman"/>
          <w:bCs/>
          <w:szCs w:val="24"/>
        </w:rPr>
      </w:pPr>
      <w:r w:rsidRPr="00F07D72">
        <w:rPr>
          <w:rFonts w:eastAsia="Calibri" w:cs="Times New Roman"/>
          <w:bCs/>
          <w:szCs w:val="24"/>
        </w:rPr>
        <w:t>Интегриран план за градско възстановяване и развитие на гр. Русе;</w:t>
      </w:r>
    </w:p>
    <w:p w:rsidR="00F07D72" w:rsidRPr="00F07D72" w:rsidRDefault="00F07D72" w:rsidP="00F07D72">
      <w:pPr>
        <w:numPr>
          <w:ilvl w:val="0"/>
          <w:numId w:val="3"/>
        </w:numPr>
        <w:spacing w:after="160" w:line="259" w:lineRule="auto"/>
        <w:jc w:val="both"/>
        <w:rPr>
          <w:rFonts w:eastAsia="Calibri" w:cs="Times New Roman"/>
          <w:bCs/>
          <w:szCs w:val="24"/>
        </w:rPr>
      </w:pPr>
      <w:r w:rsidRPr="00F07D72">
        <w:rPr>
          <w:rFonts w:eastAsia="Calibri" w:cs="Times New Roman"/>
          <w:bCs/>
          <w:szCs w:val="24"/>
        </w:rPr>
        <w:t>Насоки за кандидатстване по процедура</w:t>
      </w:r>
      <w:r w:rsidRPr="00F07D72">
        <w:rPr>
          <w:rFonts w:eastAsia="Calibri" w:cs="Times New Roman"/>
          <w:bCs/>
          <w:szCs w:val="24"/>
          <w:lang w:val="en-US"/>
        </w:rPr>
        <w:t xml:space="preserve"> </w:t>
      </w:r>
      <w:r w:rsidRPr="00F07D72">
        <w:rPr>
          <w:rFonts w:eastAsia="Calibri" w:cs="Times New Roman"/>
          <w:bCs/>
          <w:szCs w:val="24"/>
        </w:rPr>
        <w:t>на ОПОС 2014-2020 г.  BG16M10P002-2.001 -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p>
    <w:p w:rsidR="00F07D72" w:rsidRPr="00F07D72" w:rsidRDefault="00F07D72" w:rsidP="00F07D72">
      <w:pPr>
        <w:ind w:left="709" w:hanging="709"/>
        <w:rPr>
          <w:rFonts w:eastAsia="Calibri" w:cs="Times New Roman"/>
          <w:bCs/>
          <w:szCs w:val="24"/>
        </w:rPr>
      </w:pPr>
    </w:p>
    <w:p w:rsidR="00F07D72" w:rsidRPr="00F07D72" w:rsidRDefault="00F07D72" w:rsidP="00F07D72">
      <w:pPr>
        <w:keepNext/>
        <w:keepLines/>
        <w:spacing w:before="200" w:after="160" w:line="259" w:lineRule="auto"/>
        <w:ind w:left="900"/>
        <w:jc w:val="both"/>
        <w:outlineLvl w:val="2"/>
        <w:rPr>
          <w:rFonts w:eastAsia="MS Gothic" w:cs="Times New Roman"/>
          <w:b/>
          <w:bCs/>
          <w:szCs w:val="24"/>
          <w:lang w:val="ru-RU" w:eastAsia="bg-BG"/>
        </w:rPr>
      </w:pPr>
      <w:bookmarkStart w:id="11" w:name="_Toc445756131"/>
      <w:r w:rsidRPr="00F07D72">
        <w:rPr>
          <w:rFonts w:eastAsia="MS Gothic" w:cs="Times New Roman"/>
          <w:b/>
          <w:bCs/>
          <w:szCs w:val="24"/>
          <w:lang w:val="ru-RU" w:eastAsia="bg-BG"/>
        </w:rPr>
        <w:lastRenderedPageBreak/>
        <w:t>Дейност 2 Изготвяне на идеен инвестиционен проект, включително индикативен опис на съоръженията, геодезия, геология и хидрогеология.</w:t>
      </w:r>
      <w:bookmarkEnd w:id="11"/>
      <w:r w:rsidRPr="00F07D72">
        <w:rPr>
          <w:rFonts w:eastAsia="MS Gothic" w:cs="Times New Roman"/>
          <w:b/>
          <w:bCs/>
          <w:szCs w:val="24"/>
          <w:lang w:val="ru-RU" w:eastAsia="bg-BG"/>
        </w:rPr>
        <w:t xml:space="preserve"> </w:t>
      </w:r>
    </w:p>
    <w:p w:rsidR="00F07D72" w:rsidRPr="00F07D72" w:rsidRDefault="00F07D72" w:rsidP="00F07D72">
      <w:pPr>
        <w:rPr>
          <w:rFonts w:eastAsia="Calibri" w:cs="Times New Roman"/>
          <w:b/>
          <w:szCs w:val="24"/>
        </w:rPr>
      </w:pPr>
    </w:p>
    <w:p w:rsidR="00F07D72" w:rsidRPr="00F07D72" w:rsidRDefault="00F07D72" w:rsidP="00F07D72">
      <w:pPr>
        <w:ind w:firstLine="357"/>
        <w:jc w:val="both"/>
        <w:rPr>
          <w:rFonts w:eastAsia="Calibri" w:cs="Times New Roman"/>
          <w:bCs/>
          <w:szCs w:val="24"/>
          <w:lang w:val="ru-RU"/>
        </w:rPr>
      </w:pPr>
      <w:r w:rsidRPr="00F07D72">
        <w:rPr>
          <w:rFonts w:eastAsia="Calibri" w:cs="Times New Roman"/>
          <w:bCs/>
          <w:szCs w:val="24"/>
          <w:lang w:val="ru-RU"/>
        </w:rPr>
        <w:t>Въз основа на изготвения в рамките на дейност 1 ПИП, Консултантът следва да изготви идеен проект:</w:t>
      </w:r>
    </w:p>
    <w:p w:rsidR="00F07D72" w:rsidRPr="00F07D72" w:rsidRDefault="00F07D72" w:rsidP="00F07D72">
      <w:pPr>
        <w:ind w:firstLine="357"/>
        <w:jc w:val="both"/>
        <w:rPr>
          <w:rFonts w:eastAsia="Calibri" w:cs="Times New Roman"/>
          <w:bCs/>
          <w:szCs w:val="24"/>
          <w:lang w:val="ru-RU"/>
        </w:rPr>
      </w:pPr>
    </w:p>
    <w:p w:rsidR="00F07D72" w:rsidRPr="00F07D72" w:rsidRDefault="00F07D72" w:rsidP="00F07D72">
      <w:pPr>
        <w:numPr>
          <w:ilvl w:val="1"/>
          <w:numId w:val="1"/>
        </w:numPr>
        <w:tabs>
          <w:tab w:val="clear" w:pos="360"/>
          <w:tab w:val="num" w:pos="993"/>
        </w:tabs>
        <w:spacing w:after="160" w:line="259" w:lineRule="auto"/>
        <w:ind w:left="993"/>
        <w:rPr>
          <w:rFonts w:eastAsia="Calibri" w:cs="Times New Roman"/>
          <w:b/>
          <w:szCs w:val="24"/>
        </w:rPr>
      </w:pPr>
      <w:r w:rsidRPr="00F07D72">
        <w:rPr>
          <w:rFonts w:eastAsia="Calibri" w:cs="Times New Roman"/>
          <w:b/>
          <w:szCs w:val="24"/>
        </w:rPr>
        <w:t>Идеен инвестиционен проект;</w:t>
      </w:r>
    </w:p>
    <w:p w:rsidR="00F07D72" w:rsidRPr="00F07D72" w:rsidRDefault="00F07D72" w:rsidP="00F07D72">
      <w:pPr>
        <w:ind w:left="142"/>
        <w:jc w:val="both"/>
        <w:rPr>
          <w:rFonts w:eastAsia="Calibri" w:cs="Times New Roman"/>
          <w:szCs w:val="24"/>
        </w:rPr>
      </w:pPr>
    </w:p>
    <w:p w:rsidR="00F07D72" w:rsidRPr="00F07D72" w:rsidRDefault="00F07D72" w:rsidP="00F07D72">
      <w:pPr>
        <w:ind w:left="142"/>
        <w:jc w:val="both"/>
        <w:rPr>
          <w:rFonts w:eastAsia="Calibri" w:cs="Times New Roman"/>
          <w:i/>
          <w:szCs w:val="24"/>
        </w:rPr>
      </w:pPr>
      <w:r w:rsidRPr="00F07D72">
        <w:rPr>
          <w:rFonts w:eastAsia="Calibri" w:cs="Times New Roman"/>
          <w:i/>
          <w:szCs w:val="24"/>
        </w:rPr>
        <w:t>Идейният проект следва да бъде изготвен в съответствие с изискванията на глава пета от Наредба№ 4 от 21 май 2001 г. за обхвата и съдържанието на инвестиционните проекти.</w:t>
      </w:r>
    </w:p>
    <w:p w:rsidR="00F07D72" w:rsidRPr="00F07D72" w:rsidRDefault="00F07D72" w:rsidP="00F07D72">
      <w:pPr>
        <w:ind w:left="142"/>
        <w:jc w:val="both"/>
        <w:rPr>
          <w:rFonts w:eastAsia="Calibri" w:cs="Times New Roman"/>
          <w:szCs w:val="24"/>
        </w:rPr>
      </w:pPr>
      <w:r w:rsidRPr="00F07D72">
        <w:rPr>
          <w:rFonts w:eastAsia="Calibri" w:cs="Times New Roman"/>
          <w:szCs w:val="24"/>
        </w:rPr>
        <w:t xml:space="preserve">Идейният проект се изработва в съответствие с предвижданията на действащия ПУП или с визата за проектиране, когато издаването й е задължително, и в съответствие със заданието за проектиране. Идейният проект изпълнява и ролята на задание за следващата фаза на проектиране. </w:t>
      </w:r>
    </w:p>
    <w:p w:rsidR="00F07D72" w:rsidRPr="00F07D72" w:rsidRDefault="00F07D72" w:rsidP="00F07D72">
      <w:pPr>
        <w:ind w:left="142"/>
        <w:jc w:val="both"/>
        <w:rPr>
          <w:rFonts w:eastAsia="Calibri" w:cs="Times New Roman"/>
          <w:szCs w:val="24"/>
        </w:rPr>
      </w:pPr>
      <w:r w:rsidRPr="00F07D72">
        <w:rPr>
          <w:rFonts w:eastAsia="Calibri" w:cs="Times New Roman"/>
          <w:szCs w:val="24"/>
        </w:rPr>
        <w:t>Обхватът и съдържанието на идейния проект трябва да бъдат достатъчни за ползването му:</w:t>
      </w:r>
    </w:p>
    <w:p w:rsidR="00F07D72" w:rsidRPr="00F07D72" w:rsidRDefault="00F07D72" w:rsidP="00F07D72">
      <w:pPr>
        <w:ind w:left="142"/>
        <w:jc w:val="both"/>
        <w:rPr>
          <w:rFonts w:eastAsia="Calibri" w:cs="Times New Roman"/>
          <w:szCs w:val="24"/>
        </w:rPr>
      </w:pPr>
      <w:r w:rsidRPr="00F07D72">
        <w:rPr>
          <w:rFonts w:eastAsia="Calibri" w:cs="Times New Roman"/>
          <w:szCs w:val="24"/>
        </w:rPr>
        <w:t>1. като основа за изработване на следващата фаза на проектиране;</w:t>
      </w:r>
    </w:p>
    <w:p w:rsidR="00F07D72" w:rsidRPr="00F07D72" w:rsidRDefault="00F07D72" w:rsidP="00F07D72">
      <w:pPr>
        <w:ind w:left="142"/>
        <w:jc w:val="both"/>
        <w:rPr>
          <w:rFonts w:eastAsia="Calibri" w:cs="Times New Roman"/>
          <w:szCs w:val="24"/>
        </w:rPr>
      </w:pPr>
      <w:r w:rsidRPr="00F07D72">
        <w:rPr>
          <w:rFonts w:eastAsia="Calibri" w:cs="Times New Roman"/>
          <w:szCs w:val="24"/>
        </w:rPr>
        <w:t>2. за издаване на разрешение за строеж съгласно чл. 142, ал. 2 ЗУТ;</w:t>
      </w:r>
    </w:p>
    <w:p w:rsidR="00F07D72" w:rsidRPr="00F07D72" w:rsidRDefault="00F07D72" w:rsidP="00F07D72">
      <w:pPr>
        <w:ind w:left="142"/>
        <w:jc w:val="both"/>
        <w:rPr>
          <w:rFonts w:eastAsia="Calibri" w:cs="Times New Roman"/>
          <w:szCs w:val="24"/>
        </w:rPr>
      </w:pPr>
      <w:r w:rsidRPr="00F07D72">
        <w:rPr>
          <w:rFonts w:eastAsia="Calibri" w:cs="Times New Roman"/>
          <w:szCs w:val="24"/>
        </w:rPr>
        <w:t>3. за възлагане на строеж по Закона за обществените поръчки съгласно чл. 142, ал. 2 ЗУТ.</w:t>
      </w:r>
    </w:p>
    <w:p w:rsidR="00F07D72" w:rsidRPr="00F07D72" w:rsidRDefault="00F07D72" w:rsidP="00F07D72">
      <w:pPr>
        <w:ind w:left="142"/>
        <w:jc w:val="both"/>
        <w:rPr>
          <w:rFonts w:eastAsia="Calibri" w:cs="Times New Roman"/>
          <w:szCs w:val="24"/>
        </w:rPr>
      </w:pPr>
    </w:p>
    <w:p w:rsidR="00F07D72" w:rsidRPr="00F07D72" w:rsidRDefault="00F07D72" w:rsidP="00F07D72">
      <w:pPr>
        <w:ind w:left="142"/>
        <w:jc w:val="both"/>
        <w:rPr>
          <w:rFonts w:eastAsia="Calibri" w:cs="Times New Roman"/>
          <w:szCs w:val="24"/>
        </w:rPr>
      </w:pPr>
      <w:r w:rsidRPr="00F07D72">
        <w:rPr>
          <w:rFonts w:eastAsia="Calibri" w:cs="Times New Roman"/>
          <w:szCs w:val="24"/>
        </w:rPr>
        <w:t>Идейният проект трябва да се изработи за част технологична, придружена от част архитектурна, конструктивна, необходимите инсталационни части, част геодезическа и др.;</w:t>
      </w:r>
    </w:p>
    <w:p w:rsidR="00F07D72" w:rsidRPr="00F07D72" w:rsidRDefault="00F07D72" w:rsidP="00F07D72">
      <w:pPr>
        <w:ind w:left="142"/>
        <w:jc w:val="both"/>
        <w:rPr>
          <w:rFonts w:eastAsia="Calibri" w:cs="Times New Roman"/>
          <w:szCs w:val="24"/>
        </w:rPr>
      </w:pPr>
    </w:p>
    <w:p w:rsidR="00F07D72" w:rsidRPr="00F07D72" w:rsidRDefault="00F07D72" w:rsidP="00F07D72">
      <w:pPr>
        <w:ind w:left="142"/>
        <w:jc w:val="both"/>
        <w:rPr>
          <w:rFonts w:eastAsia="Calibri" w:cs="Times New Roman"/>
          <w:szCs w:val="24"/>
        </w:rPr>
      </w:pPr>
      <w:r w:rsidRPr="00F07D72">
        <w:rPr>
          <w:rFonts w:eastAsia="Calibri" w:cs="Times New Roman"/>
          <w:szCs w:val="24"/>
        </w:rPr>
        <w:t>Всяка част на идейния проект включва:</w:t>
      </w:r>
    </w:p>
    <w:p w:rsidR="00F07D72" w:rsidRPr="00F07D72" w:rsidRDefault="00F07D72" w:rsidP="00F07D72">
      <w:pPr>
        <w:ind w:left="142"/>
        <w:jc w:val="both"/>
        <w:rPr>
          <w:rFonts w:eastAsia="Calibri" w:cs="Times New Roman"/>
          <w:szCs w:val="24"/>
        </w:rPr>
      </w:pPr>
      <w:r w:rsidRPr="00F07D72">
        <w:rPr>
          <w:rFonts w:eastAsia="Calibri" w:cs="Times New Roman"/>
          <w:szCs w:val="24"/>
        </w:rPr>
        <w:t>1. чертежи, които изясняват предлаганите проектни решения в следните препоръчителни мащаби:</w:t>
      </w:r>
    </w:p>
    <w:p w:rsidR="00F07D72" w:rsidRPr="00F07D72" w:rsidRDefault="00F07D72" w:rsidP="00F07D72">
      <w:pPr>
        <w:ind w:left="142"/>
        <w:jc w:val="both"/>
        <w:rPr>
          <w:rFonts w:eastAsia="Calibri" w:cs="Times New Roman"/>
          <w:szCs w:val="24"/>
        </w:rPr>
      </w:pPr>
      <w:r w:rsidRPr="00F07D72">
        <w:rPr>
          <w:rFonts w:eastAsia="Calibri" w:cs="Times New Roman"/>
          <w:szCs w:val="24"/>
        </w:rPr>
        <w:t>а) ситуационно решение - в М 1:500 или М 1:1000;</w:t>
      </w:r>
    </w:p>
    <w:p w:rsidR="00F07D72" w:rsidRPr="00F07D72" w:rsidRDefault="00F07D72" w:rsidP="00F07D72">
      <w:pPr>
        <w:ind w:left="142"/>
        <w:jc w:val="both"/>
        <w:rPr>
          <w:rFonts w:eastAsia="Calibri" w:cs="Times New Roman"/>
          <w:szCs w:val="24"/>
        </w:rPr>
      </w:pPr>
      <w:r w:rsidRPr="00F07D72">
        <w:rPr>
          <w:rFonts w:eastAsia="Calibri" w:cs="Times New Roman"/>
          <w:szCs w:val="24"/>
        </w:rPr>
        <w:t>б) разпределения, разрези, фасади - в М 1:100 или М 1:200;</w:t>
      </w:r>
    </w:p>
    <w:p w:rsidR="00F07D72" w:rsidRPr="00F07D72" w:rsidRDefault="00F07D72" w:rsidP="00F07D72">
      <w:pPr>
        <w:ind w:left="142"/>
        <w:jc w:val="both"/>
        <w:rPr>
          <w:rFonts w:eastAsia="Calibri" w:cs="Times New Roman"/>
          <w:szCs w:val="24"/>
        </w:rPr>
      </w:pPr>
      <w:r w:rsidRPr="00F07D72">
        <w:rPr>
          <w:rFonts w:eastAsia="Calibri" w:cs="Times New Roman"/>
          <w:szCs w:val="24"/>
        </w:rPr>
        <w:t>в) други чертежи - в подходящ мащаб, в зависимост от вида и спецификата на обекта;</w:t>
      </w:r>
    </w:p>
    <w:p w:rsidR="00F07D72" w:rsidRPr="00F07D72" w:rsidRDefault="00F07D72" w:rsidP="00F07D72">
      <w:pPr>
        <w:ind w:left="142"/>
        <w:jc w:val="both"/>
        <w:rPr>
          <w:rFonts w:eastAsia="Calibri" w:cs="Times New Roman"/>
          <w:szCs w:val="24"/>
        </w:rPr>
      </w:pPr>
      <w:r w:rsidRPr="00F07D72">
        <w:rPr>
          <w:rFonts w:eastAsia="Calibri" w:cs="Times New Roman"/>
          <w:szCs w:val="24"/>
        </w:rPr>
        <w:t>2. обяснителна записка, поясняваща предлаганите проектни решения и съответствието им с изискванията на чл. 169 ЗУТ за безопасна, сигурна, здравословна и достъпна за всички среда;</w:t>
      </w:r>
    </w:p>
    <w:p w:rsidR="00F07D72" w:rsidRPr="00F07D72" w:rsidRDefault="00F07D72" w:rsidP="00F07D72">
      <w:pPr>
        <w:ind w:left="142"/>
        <w:jc w:val="both"/>
        <w:rPr>
          <w:rFonts w:eastAsia="Calibri" w:cs="Times New Roman"/>
          <w:szCs w:val="24"/>
        </w:rPr>
      </w:pPr>
      <w:r w:rsidRPr="00F07D72">
        <w:rPr>
          <w:rFonts w:eastAsia="Calibri" w:cs="Times New Roman"/>
          <w:szCs w:val="24"/>
        </w:rPr>
        <w:t>3. изчисления, обосноваващи проектните решения, които се включват по преценка на проектанта, или когато се изискват със заданието за проектиране (договора за проектиране).</w:t>
      </w:r>
    </w:p>
    <w:p w:rsidR="00F07D72" w:rsidRPr="00F07D72" w:rsidRDefault="00F07D72" w:rsidP="00F07D72">
      <w:pPr>
        <w:ind w:left="142"/>
        <w:jc w:val="both"/>
        <w:rPr>
          <w:rFonts w:eastAsia="Calibri" w:cs="Times New Roman"/>
          <w:szCs w:val="24"/>
        </w:rPr>
      </w:pPr>
      <w:r w:rsidRPr="00F07D72">
        <w:rPr>
          <w:rFonts w:eastAsia="Calibri" w:cs="Times New Roman"/>
          <w:szCs w:val="24"/>
        </w:rPr>
        <w:t>Тъй като идейният проект ще служи за издаване на разрешение за строеж, всички части на проекта трябва да се изработят в обем и съдържание, достатъчни за изясняване на проектното решение и извършване на предварителна оценка на съответствието с подробния устройствен план и със съществените изисквания към строежите.</w:t>
      </w:r>
    </w:p>
    <w:p w:rsidR="00F07D72" w:rsidRPr="00F07D72" w:rsidRDefault="00F07D72" w:rsidP="00F07D72">
      <w:pPr>
        <w:ind w:left="142"/>
        <w:jc w:val="both"/>
        <w:rPr>
          <w:rFonts w:eastAsia="Calibri" w:cs="Times New Roman"/>
          <w:szCs w:val="24"/>
        </w:rPr>
      </w:pPr>
      <w:r w:rsidRPr="00F07D72">
        <w:rPr>
          <w:rFonts w:eastAsia="Calibri" w:cs="Times New Roman"/>
          <w:szCs w:val="24"/>
        </w:rPr>
        <w:t>В допълнение идейният проект трябва да съдържа количествена сметка и спецификация на основните, предвидени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rsidR="00F07D72" w:rsidRPr="00F07D72" w:rsidRDefault="00F07D72" w:rsidP="00F07D72">
      <w:pPr>
        <w:ind w:left="142"/>
        <w:jc w:val="both"/>
        <w:rPr>
          <w:rFonts w:eastAsia="Calibri" w:cs="Times New Roman"/>
          <w:szCs w:val="24"/>
        </w:rPr>
      </w:pPr>
    </w:p>
    <w:p w:rsidR="00F07D72" w:rsidRPr="00F07D72" w:rsidRDefault="00F07D72" w:rsidP="00F07D72">
      <w:pPr>
        <w:ind w:left="142"/>
        <w:jc w:val="both"/>
        <w:rPr>
          <w:rFonts w:eastAsia="Calibri" w:cs="Times New Roman"/>
          <w:szCs w:val="24"/>
        </w:rPr>
      </w:pPr>
    </w:p>
    <w:p w:rsidR="00F07D72" w:rsidRPr="00F07D72" w:rsidRDefault="00F07D72" w:rsidP="00F07D72">
      <w:pPr>
        <w:ind w:left="142"/>
        <w:jc w:val="both"/>
        <w:rPr>
          <w:rFonts w:eastAsia="Calibri" w:cs="Times New Roman"/>
          <w:szCs w:val="24"/>
        </w:rPr>
      </w:pPr>
    </w:p>
    <w:p w:rsidR="00F07D72" w:rsidRPr="00F07D72" w:rsidRDefault="00F07D72" w:rsidP="00F07D72">
      <w:pPr>
        <w:numPr>
          <w:ilvl w:val="1"/>
          <w:numId w:val="1"/>
        </w:numPr>
        <w:spacing w:after="160" w:line="259" w:lineRule="auto"/>
        <w:contextualSpacing/>
        <w:jc w:val="both"/>
        <w:rPr>
          <w:rFonts w:eastAsia="Calibri" w:cs="Times New Roman"/>
          <w:b/>
          <w:szCs w:val="24"/>
        </w:rPr>
      </w:pPr>
      <w:r w:rsidRPr="00F07D72">
        <w:rPr>
          <w:rFonts w:eastAsia="Calibri" w:cs="Times New Roman"/>
          <w:b/>
          <w:szCs w:val="24"/>
        </w:rPr>
        <w:lastRenderedPageBreak/>
        <w:t>Уведомление за инвестиционното предложение за преценяване на необходимостта от ОВОС</w:t>
      </w:r>
    </w:p>
    <w:p w:rsidR="00F07D72" w:rsidRPr="00F07D72" w:rsidRDefault="00F07D72" w:rsidP="00F07D72">
      <w:pPr>
        <w:spacing w:after="160" w:line="259" w:lineRule="auto"/>
        <w:ind w:left="360"/>
        <w:contextualSpacing/>
        <w:jc w:val="both"/>
        <w:rPr>
          <w:rFonts w:eastAsia="Calibri" w:cs="Times New Roman"/>
          <w:b/>
          <w:szCs w:val="24"/>
        </w:rPr>
      </w:pPr>
    </w:p>
    <w:p w:rsidR="00F07D72" w:rsidRPr="00F07D72" w:rsidRDefault="00F07D72" w:rsidP="00F07D72">
      <w:pPr>
        <w:jc w:val="both"/>
        <w:rPr>
          <w:rFonts w:eastAsia="Calibri" w:cs="Times New Roman"/>
          <w:szCs w:val="24"/>
        </w:rPr>
      </w:pPr>
      <w:r w:rsidRPr="00F07D72">
        <w:rPr>
          <w:rFonts w:eastAsia="Calibri" w:cs="Times New Roman"/>
          <w:i/>
          <w:szCs w:val="24"/>
        </w:rPr>
        <w:t xml:space="preserve">Уведомлението за инвестиционното предложение </w:t>
      </w:r>
      <w:r w:rsidRPr="00F07D72">
        <w:rPr>
          <w:rFonts w:eastAsia="Calibri" w:cs="Times New Roman"/>
          <w:szCs w:val="24"/>
        </w:rPr>
        <w:t>за преценяване на необходимостта от ОВОС следва да бъде изготвено съгласно Приложение №5 към чл. 4, ал. 1 (Ново - ДВ, бр. 12 от 2016 г., в сила от 12.02.2016 г.) на Наредбата за условията и реда за извършване на оценка на въздействието върху околната среда.</w:t>
      </w:r>
    </w:p>
    <w:p w:rsidR="00F07D72" w:rsidRPr="00F07D72" w:rsidRDefault="00F07D72" w:rsidP="00F07D72">
      <w:pPr>
        <w:jc w:val="both"/>
        <w:rPr>
          <w:rFonts w:eastAsia="Calibri" w:cs="Times New Roman"/>
          <w:szCs w:val="24"/>
        </w:rPr>
      </w:pPr>
      <w:r w:rsidRPr="00F07D72">
        <w:rPr>
          <w:rFonts w:eastAsia="Calibri" w:cs="Times New Roman"/>
          <w:szCs w:val="24"/>
        </w:rPr>
        <w:t>Уведомлението се изготвя във връзка със задължението на Възложителя да информира писмено компетентните органи ( в случая РИОСВ Русе) за своето инвестиционно предложение в най-ранен етап в един екземпляр на хартиен и електронен носител, които са напълно еднакви.</w:t>
      </w:r>
    </w:p>
    <w:p w:rsidR="00F07D72" w:rsidRPr="00F07D72" w:rsidRDefault="00F07D72" w:rsidP="00F07D72">
      <w:pPr>
        <w:jc w:val="both"/>
        <w:rPr>
          <w:rFonts w:eastAsia="Calibri" w:cs="Times New Roman"/>
          <w:szCs w:val="24"/>
        </w:rPr>
      </w:pPr>
      <w:r w:rsidRPr="00F07D72">
        <w:rPr>
          <w:rFonts w:eastAsia="Calibri" w:cs="Times New Roman"/>
          <w:szCs w:val="24"/>
        </w:rPr>
        <w:t>Информацията, която се представя с Уведомлението следва да съдържа съобразена с конкретните особености на инвестиционното предложение информация, както следва:</w:t>
      </w:r>
    </w:p>
    <w:p w:rsidR="00F07D72" w:rsidRPr="00F07D72" w:rsidRDefault="00F07D72" w:rsidP="00F07D72">
      <w:pPr>
        <w:jc w:val="both"/>
        <w:rPr>
          <w:rFonts w:eastAsia="Calibri" w:cs="Times New Roman"/>
          <w:szCs w:val="24"/>
        </w:rPr>
      </w:pPr>
      <w:r w:rsidRPr="00F07D72">
        <w:rPr>
          <w:rFonts w:eastAsia="Calibri" w:cs="Times New Roman"/>
          <w:szCs w:val="24"/>
        </w:rPr>
        <w:t>1. данни за възложителя;</w:t>
      </w:r>
    </w:p>
    <w:p w:rsidR="00F07D72" w:rsidRPr="00F07D72" w:rsidRDefault="00F07D72" w:rsidP="00F07D72">
      <w:pPr>
        <w:jc w:val="both"/>
        <w:rPr>
          <w:rFonts w:eastAsia="Calibri" w:cs="Times New Roman"/>
          <w:szCs w:val="24"/>
        </w:rPr>
      </w:pPr>
      <w:r w:rsidRPr="00F07D72">
        <w:rPr>
          <w:rFonts w:eastAsia="Calibri" w:cs="Times New Roman"/>
          <w:szCs w:val="24"/>
        </w:rPr>
        <w:t>2. резюме на предложението;</w:t>
      </w:r>
    </w:p>
    <w:p w:rsidR="00F07D72" w:rsidRPr="00F07D72" w:rsidRDefault="00F07D72" w:rsidP="00F07D72">
      <w:pPr>
        <w:jc w:val="both"/>
        <w:rPr>
          <w:rFonts w:eastAsia="Calibri" w:cs="Times New Roman"/>
          <w:szCs w:val="24"/>
        </w:rPr>
      </w:pPr>
      <w:r w:rsidRPr="00F07D72">
        <w:rPr>
          <w:rFonts w:eastAsia="Calibri" w:cs="Times New Roman"/>
          <w:szCs w:val="24"/>
        </w:rPr>
        <w:t>3. връзка с други съществуващи и одобрени с устройствен или друг план дейности в обхвата на въздействие на обекта на инвестиционното предложение;</w:t>
      </w:r>
    </w:p>
    <w:p w:rsidR="00F07D72" w:rsidRPr="00F07D72" w:rsidRDefault="00F07D72" w:rsidP="00F07D72">
      <w:pPr>
        <w:jc w:val="both"/>
        <w:rPr>
          <w:rFonts w:eastAsia="Calibri" w:cs="Times New Roman"/>
          <w:szCs w:val="24"/>
        </w:rPr>
      </w:pPr>
      <w:r w:rsidRPr="00F07D72">
        <w:rPr>
          <w:rFonts w:eastAsia="Calibri" w:cs="Times New Roman"/>
          <w:szCs w:val="24"/>
        </w:rPr>
        <w:t>4. местоположение на площадката;</w:t>
      </w:r>
    </w:p>
    <w:p w:rsidR="00F07D72" w:rsidRPr="00F07D72" w:rsidRDefault="00F07D72" w:rsidP="00F07D72">
      <w:pPr>
        <w:jc w:val="both"/>
        <w:rPr>
          <w:rFonts w:eastAsia="Calibri" w:cs="Times New Roman"/>
          <w:szCs w:val="24"/>
        </w:rPr>
      </w:pPr>
      <w:r w:rsidRPr="00F07D72">
        <w:rPr>
          <w:rFonts w:eastAsia="Calibri" w:cs="Times New Roman"/>
          <w:szCs w:val="24"/>
        </w:rPr>
        <w:t>5. природни ресурси, предвидени за използване по време на строителството и експлоатацията;</w:t>
      </w:r>
    </w:p>
    <w:p w:rsidR="00F07D72" w:rsidRPr="00F07D72" w:rsidRDefault="00F07D72" w:rsidP="00F07D72">
      <w:pPr>
        <w:jc w:val="both"/>
        <w:rPr>
          <w:rFonts w:eastAsia="Calibri" w:cs="Times New Roman"/>
          <w:szCs w:val="24"/>
        </w:rPr>
      </w:pPr>
      <w:r w:rsidRPr="00F07D72">
        <w:rPr>
          <w:rFonts w:eastAsia="Calibri" w:cs="Times New Roman"/>
          <w:szCs w:val="24"/>
        </w:rPr>
        <w:t>6. очаквани общи емисии на вредни вещества във въздуха по замърсители;</w:t>
      </w:r>
    </w:p>
    <w:p w:rsidR="00F07D72" w:rsidRPr="00F07D72" w:rsidRDefault="00F07D72" w:rsidP="00F07D72">
      <w:pPr>
        <w:jc w:val="both"/>
        <w:rPr>
          <w:rFonts w:eastAsia="Calibri" w:cs="Times New Roman"/>
          <w:szCs w:val="24"/>
        </w:rPr>
      </w:pPr>
      <w:r w:rsidRPr="00F07D72">
        <w:rPr>
          <w:rFonts w:eastAsia="Calibri" w:cs="Times New Roman"/>
          <w:szCs w:val="24"/>
        </w:rPr>
        <w:t>7. отпадъци, които се очаква да се генерират, и предвиждания за тяхното третиране;</w:t>
      </w:r>
    </w:p>
    <w:p w:rsidR="00F07D72" w:rsidRPr="00F07D72" w:rsidRDefault="00F07D72" w:rsidP="00F07D72">
      <w:pPr>
        <w:jc w:val="both"/>
        <w:rPr>
          <w:rFonts w:eastAsia="Calibri" w:cs="Times New Roman"/>
          <w:szCs w:val="24"/>
        </w:rPr>
      </w:pPr>
      <w:r w:rsidRPr="00F07D72">
        <w:rPr>
          <w:rFonts w:eastAsia="Calibri" w:cs="Times New Roman"/>
          <w:szCs w:val="24"/>
        </w:rPr>
        <w:t>8. очаквано количество и вид на формираните отпадъчни води по потоци;.</w:t>
      </w:r>
    </w:p>
    <w:p w:rsidR="00F07D72" w:rsidRPr="00F07D72" w:rsidRDefault="00F07D72" w:rsidP="00F07D72">
      <w:pPr>
        <w:jc w:val="both"/>
        <w:rPr>
          <w:rFonts w:eastAsia="Calibri" w:cs="Times New Roman"/>
          <w:szCs w:val="24"/>
        </w:rPr>
      </w:pPr>
      <w:r w:rsidRPr="00F07D72">
        <w:rPr>
          <w:rFonts w:eastAsia="Calibri" w:cs="Times New Roman"/>
          <w:szCs w:val="24"/>
        </w:rPr>
        <w:t>9. опасни химични вещества, които се очаква да бъдат налични на площадката;</w:t>
      </w:r>
    </w:p>
    <w:p w:rsidR="00F07D72" w:rsidRPr="00F07D72" w:rsidRDefault="00F07D72" w:rsidP="00F07D72">
      <w:pPr>
        <w:jc w:val="both"/>
        <w:rPr>
          <w:rFonts w:eastAsia="Calibri" w:cs="Times New Roman"/>
          <w:szCs w:val="24"/>
          <w:highlight w:val="yellow"/>
        </w:rPr>
      </w:pPr>
      <w:r w:rsidRPr="00F07D72">
        <w:rPr>
          <w:rFonts w:eastAsia="Calibri" w:cs="Times New Roman"/>
          <w:szCs w:val="24"/>
        </w:rPr>
        <w:t>10. друга информация ( при необходимост).</w:t>
      </w:r>
    </w:p>
    <w:p w:rsidR="00F07D72" w:rsidRPr="00F07D72" w:rsidRDefault="00F07D72" w:rsidP="00F07D72">
      <w:pPr>
        <w:ind w:left="142"/>
        <w:jc w:val="both"/>
        <w:rPr>
          <w:rFonts w:eastAsia="Calibri" w:cs="Times New Roman"/>
          <w:szCs w:val="24"/>
          <w:highlight w:val="yellow"/>
        </w:rPr>
      </w:pPr>
    </w:p>
    <w:p w:rsidR="00F07D72" w:rsidRPr="00F07D72" w:rsidRDefault="00F07D72" w:rsidP="00F07D72">
      <w:pPr>
        <w:ind w:left="993"/>
        <w:rPr>
          <w:rFonts w:eastAsia="Calibri" w:cs="Times New Roman"/>
          <w:b/>
          <w:szCs w:val="24"/>
          <w:highlight w:val="yellow"/>
        </w:rPr>
      </w:pPr>
    </w:p>
    <w:p w:rsidR="00F07D72" w:rsidRPr="00F07D72" w:rsidRDefault="00F07D72" w:rsidP="00F07D72">
      <w:pPr>
        <w:numPr>
          <w:ilvl w:val="1"/>
          <w:numId w:val="1"/>
        </w:numPr>
        <w:tabs>
          <w:tab w:val="clear" w:pos="360"/>
          <w:tab w:val="num" w:pos="993"/>
        </w:tabs>
        <w:spacing w:after="160" w:line="259" w:lineRule="auto"/>
        <w:ind w:left="993"/>
        <w:rPr>
          <w:rFonts w:eastAsia="Calibri" w:cs="Times New Roman"/>
          <w:b/>
          <w:szCs w:val="24"/>
        </w:rPr>
      </w:pPr>
      <w:r w:rsidRPr="00F07D72">
        <w:rPr>
          <w:rFonts w:eastAsia="Calibri" w:cs="Times New Roman"/>
          <w:b/>
          <w:szCs w:val="24"/>
        </w:rPr>
        <w:t>План за използване на получения краен продукт;</w:t>
      </w:r>
    </w:p>
    <w:p w:rsidR="00F07D72" w:rsidRPr="00F07D72" w:rsidRDefault="00F07D72" w:rsidP="00F07D72">
      <w:pPr>
        <w:spacing w:after="120"/>
        <w:ind w:left="142"/>
        <w:jc w:val="both"/>
        <w:rPr>
          <w:rFonts w:eastAsia="Calibri" w:cs="Times New Roman"/>
          <w:szCs w:val="24"/>
        </w:rPr>
      </w:pPr>
      <w:r w:rsidRPr="00F07D72">
        <w:rPr>
          <w:rFonts w:eastAsia="Calibri" w:cs="Times New Roman"/>
          <w:i/>
          <w:szCs w:val="24"/>
        </w:rPr>
        <w:t>Планът за използване на получения краен продукт - компост</w:t>
      </w:r>
      <w:r w:rsidRPr="00F07D72">
        <w:rPr>
          <w:rFonts w:eastAsia="Calibri" w:cs="Times New Roman"/>
          <w:szCs w:val="24"/>
        </w:rPr>
        <w:t xml:space="preserve"> трябва да бъде съобразен с изискванията за „области на употреба“ съгласно т. 10, § 1 от ДР на Наредбата за третиране на биоотпадъци. Подходящите по принцип области за употреба за компоста, предвид поставените цели за рециклиране, са основно за земеделие, ландшафтни дейности и др. Допустимо е продуктът компост да бъде използван и при рекултивация на нарушени терени (депа и мини), но само за най-горния пласт, в който се изисква ползване на хумус или богат на хумус продукт. </w:t>
      </w:r>
    </w:p>
    <w:p w:rsidR="00F07D72" w:rsidRPr="00F07D72" w:rsidRDefault="00F07D72" w:rsidP="00F07D72">
      <w:pPr>
        <w:spacing w:after="120"/>
        <w:ind w:left="142"/>
        <w:jc w:val="both"/>
        <w:rPr>
          <w:rFonts w:eastAsia="Calibri" w:cs="Times New Roman"/>
          <w:szCs w:val="24"/>
        </w:rPr>
      </w:pPr>
      <w:r w:rsidRPr="00F07D72">
        <w:rPr>
          <w:rFonts w:eastAsia="Calibri" w:cs="Times New Roman"/>
          <w:szCs w:val="24"/>
        </w:rPr>
        <w:t xml:space="preserve">За постигане на целите и изискванията за рециклиране на отпадъка, предвижданията за употреба на компоста </w:t>
      </w:r>
      <w:r w:rsidRPr="00F07D72">
        <w:rPr>
          <w:rFonts w:eastAsia="Calibri" w:cs="Times New Roman"/>
          <w:b/>
          <w:szCs w:val="24"/>
        </w:rPr>
        <w:t>не може да включват използването му като гориво или за насипни дейности съгласно определението в т. 10 на § 1 от ДР на ЗУО</w:t>
      </w:r>
      <w:r w:rsidRPr="00F07D72">
        <w:rPr>
          <w:rFonts w:eastAsia="Calibri" w:cs="Times New Roman"/>
          <w:szCs w:val="24"/>
        </w:rPr>
        <w:t xml:space="preserve"> ("Насипване" е дейност по оползотворяване, при която подходящи отпадъци се използват за рекултивационни цели в разкопани участъци или за инженерни цели в строителството на депа и където отпадъкът е заместител на неотпадъчни материали).</w:t>
      </w:r>
    </w:p>
    <w:p w:rsidR="00F07D72" w:rsidRPr="00F07D72" w:rsidRDefault="00F07D72" w:rsidP="00F07D72">
      <w:pPr>
        <w:spacing w:after="120"/>
        <w:ind w:left="142"/>
        <w:jc w:val="both"/>
        <w:rPr>
          <w:rFonts w:eastAsia="Calibri" w:cs="Times New Roman"/>
          <w:color w:val="000000"/>
          <w:sz w:val="23"/>
          <w:szCs w:val="23"/>
          <w:lang w:eastAsia="bg-BG"/>
        </w:rPr>
      </w:pPr>
      <w:r w:rsidRPr="00F07D72">
        <w:rPr>
          <w:rFonts w:eastAsia="Calibri" w:cs="Times New Roman"/>
          <w:color w:val="000000"/>
          <w:sz w:val="23"/>
          <w:szCs w:val="23"/>
          <w:lang w:eastAsia="bg-BG"/>
        </w:rPr>
        <w:t xml:space="preserve">В плана също така трябва да се включат резултати от проучване за възможните конкретни обекти, терени, дейности или други възможности, за които кандидатът или неговите партньори имат намерение да ползват компоста, както и обосновка за тези възможности в по-далечна перспектива, най-малко 5 години. В случай на предвиждания за продажба на компоста, следва да се представи и анализ на пазара на този продукт, както и за какво ще бъдат използвани приходите. </w:t>
      </w:r>
    </w:p>
    <w:p w:rsidR="00F07D72" w:rsidRPr="00F07D72" w:rsidRDefault="00F07D72" w:rsidP="00F07D72">
      <w:pPr>
        <w:spacing w:after="120"/>
        <w:ind w:left="142"/>
        <w:jc w:val="both"/>
        <w:rPr>
          <w:rFonts w:eastAsia="Calibri" w:cs="Times New Roman"/>
          <w:b/>
          <w:szCs w:val="24"/>
          <w:highlight w:val="yellow"/>
        </w:rPr>
      </w:pPr>
      <w:r w:rsidRPr="00F07D72">
        <w:rPr>
          <w:rFonts w:eastAsia="Calibri" w:cs="Times New Roman"/>
          <w:color w:val="000000"/>
          <w:sz w:val="23"/>
          <w:szCs w:val="23"/>
          <w:lang w:eastAsia="bg-BG"/>
        </w:rPr>
        <w:lastRenderedPageBreak/>
        <w:t>В плана също така следва да се предвидят и възможностите за третиране на продукт/отпадък в резултат на работата на инсталацията за компостиране, който не отговаря на изискванията за качество за компост.</w:t>
      </w:r>
    </w:p>
    <w:p w:rsidR="00F07D72" w:rsidRPr="00F07D72" w:rsidRDefault="00F07D72" w:rsidP="00F07D72">
      <w:pPr>
        <w:ind w:left="360"/>
        <w:jc w:val="both"/>
        <w:rPr>
          <w:rFonts w:eastAsia="Calibri" w:cs="Times New Roman"/>
          <w:b/>
          <w:szCs w:val="24"/>
          <w:highlight w:val="yellow"/>
        </w:rPr>
      </w:pPr>
    </w:p>
    <w:p w:rsidR="00F07D72" w:rsidRPr="00F07D72" w:rsidRDefault="00F07D72" w:rsidP="00F07D72">
      <w:pPr>
        <w:numPr>
          <w:ilvl w:val="1"/>
          <w:numId w:val="1"/>
        </w:numPr>
        <w:tabs>
          <w:tab w:val="clear" w:pos="360"/>
          <w:tab w:val="num" w:pos="993"/>
        </w:tabs>
        <w:spacing w:after="160" w:line="259" w:lineRule="auto"/>
        <w:ind w:left="993"/>
        <w:rPr>
          <w:rFonts w:eastAsia="Calibri" w:cs="Times New Roman"/>
          <w:b/>
          <w:szCs w:val="24"/>
        </w:rPr>
      </w:pPr>
      <w:r w:rsidRPr="00F07D72">
        <w:rPr>
          <w:rFonts w:eastAsia="Calibri" w:cs="Times New Roman"/>
          <w:b/>
          <w:szCs w:val="24"/>
        </w:rPr>
        <w:t>Схема за контрол на качеството на компоста;</w:t>
      </w:r>
    </w:p>
    <w:p w:rsidR="00F07D72" w:rsidRPr="00F07D72" w:rsidRDefault="00F07D72" w:rsidP="00F07D72">
      <w:pPr>
        <w:ind w:left="142"/>
        <w:jc w:val="both"/>
        <w:rPr>
          <w:rFonts w:eastAsia="Calibri" w:cs="Times New Roman"/>
          <w:b/>
          <w:szCs w:val="24"/>
          <w:highlight w:val="yellow"/>
        </w:rPr>
      </w:pPr>
      <w:r w:rsidRPr="00F07D72">
        <w:rPr>
          <w:rFonts w:eastAsia="Calibri" w:cs="Times New Roman"/>
          <w:i/>
          <w:iCs/>
          <w:sz w:val="23"/>
          <w:szCs w:val="23"/>
        </w:rPr>
        <w:t xml:space="preserve">Схемата за контрол на качеството на компоста </w:t>
      </w:r>
      <w:r w:rsidRPr="00F07D72">
        <w:rPr>
          <w:rFonts w:eastAsia="Calibri" w:cs="Times New Roman"/>
          <w:sz w:val="23"/>
          <w:szCs w:val="23"/>
        </w:rPr>
        <w:t xml:space="preserve">трябва да бъде съобразена с изискванията на глава трета на </w:t>
      </w:r>
      <w:r w:rsidRPr="00F07D72">
        <w:rPr>
          <w:rFonts w:eastAsia="Calibri" w:cs="Times New Roman"/>
          <w:i/>
          <w:iCs/>
          <w:sz w:val="23"/>
          <w:szCs w:val="23"/>
        </w:rPr>
        <w:t>Наредбата за третиране на биоотпадъците</w:t>
      </w:r>
      <w:r w:rsidRPr="00F07D72">
        <w:rPr>
          <w:rFonts w:eastAsia="Calibri" w:cs="Times New Roman"/>
          <w:sz w:val="23"/>
          <w:szCs w:val="23"/>
        </w:rPr>
        <w:t>. В нея следва да бъде предвидена надеждна система за контрол на качеството на входящия поток отпадъци и получения компост с конкретните мерки и дейности за този контрол. В схемата трябва да бъдат предложени конкретни мерки и действия за контрол на всички етапи на процеса, в т.ч. най-малко при разделното събиране, вход площадка, съхраняване, производствен процес, продукт.</w:t>
      </w:r>
    </w:p>
    <w:p w:rsidR="00F07D72" w:rsidRPr="00F07D72" w:rsidRDefault="00F07D72" w:rsidP="00F07D72">
      <w:pPr>
        <w:ind w:left="993"/>
        <w:rPr>
          <w:rFonts w:eastAsia="Calibri" w:cs="Times New Roman"/>
          <w:b/>
          <w:szCs w:val="24"/>
          <w:highlight w:val="yellow"/>
        </w:rPr>
      </w:pPr>
    </w:p>
    <w:p w:rsidR="00F07D72" w:rsidRPr="00F07D72" w:rsidRDefault="00F07D72" w:rsidP="00F07D72">
      <w:pPr>
        <w:numPr>
          <w:ilvl w:val="1"/>
          <w:numId w:val="1"/>
        </w:numPr>
        <w:tabs>
          <w:tab w:val="clear" w:pos="360"/>
          <w:tab w:val="num" w:pos="993"/>
        </w:tabs>
        <w:spacing w:after="160" w:line="259" w:lineRule="auto"/>
        <w:ind w:left="993"/>
        <w:rPr>
          <w:rFonts w:eastAsia="Calibri" w:cs="Times New Roman"/>
          <w:b/>
          <w:szCs w:val="24"/>
        </w:rPr>
      </w:pPr>
      <w:r w:rsidRPr="00F07D72">
        <w:rPr>
          <w:rFonts w:eastAsia="Calibri" w:cs="Times New Roman"/>
          <w:b/>
          <w:szCs w:val="24"/>
        </w:rPr>
        <w:t>План за третиране на остатъчния отпадък;</w:t>
      </w:r>
    </w:p>
    <w:p w:rsidR="00F07D72" w:rsidRPr="00F07D72" w:rsidRDefault="00F07D72" w:rsidP="00F07D72">
      <w:pPr>
        <w:spacing w:after="120"/>
        <w:jc w:val="both"/>
        <w:rPr>
          <w:rFonts w:eastAsia="Calibri" w:cs="Times New Roman"/>
          <w:sz w:val="23"/>
          <w:szCs w:val="23"/>
        </w:rPr>
      </w:pPr>
      <w:r w:rsidRPr="00F07D72">
        <w:rPr>
          <w:rFonts w:eastAsia="Calibri" w:cs="Times New Roman"/>
          <w:i/>
          <w:iCs/>
          <w:sz w:val="23"/>
          <w:szCs w:val="23"/>
        </w:rPr>
        <w:t xml:space="preserve">Планът за третиране на остатъчния отпадък </w:t>
      </w:r>
      <w:r w:rsidRPr="00F07D72">
        <w:rPr>
          <w:rFonts w:eastAsia="Calibri" w:cs="Times New Roman"/>
          <w:sz w:val="23"/>
          <w:szCs w:val="23"/>
        </w:rPr>
        <w:t>трябва да съдържа анализ на видовете и количеството на отпадъците, които може да бъдат генерирани при експлоатацията на инсталацията за компостиране. В плана следва да се включат и възможните начини на третиране на тези отпадъци, като се спазва йерархията съгласно действащата нормативна уредба, както и предвижданията за третиране на отпадъците извън инсталацията за компостиране в други инсталации или съоръжения, които отговарят на нормативните изисквания или да бъдат предавани на лица, които притежават необходимите разрешителни документи по реда на ЗУО или Закона за опазване на околната среда.</w:t>
      </w:r>
    </w:p>
    <w:p w:rsidR="00F07D72" w:rsidRPr="00F07D72" w:rsidRDefault="00F07D72" w:rsidP="00F07D72">
      <w:pPr>
        <w:numPr>
          <w:ilvl w:val="1"/>
          <w:numId w:val="1"/>
        </w:numPr>
        <w:tabs>
          <w:tab w:val="clear" w:pos="360"/>
          <w:tab w:val="num" w:pos="993"/>
        </w:tabs>
        <w:spacing w:after="160" w:line="259" w:lineRule="auto"/>
        <w:ind w:left="993"/>
        <w:rPr>
          <w:rFonts w:eastAsia="Calibri" w:cs="Times New Roman"/>
          <w:b/>
          <w:szCs w:val="24"/>
        </w:rPr>
      </w:pPr>
      <w:r w:rsidRPr="00F07D72">
        <w:rPr>
          <w:rFonts w:eastAsia="Calibri" w:cs="Times New Roman"/>
          <w:b/>
          <w:szCs w:val="24"/>
        </w:rPr>
        <w:t>Индикативен опис на съоръженията.</w:t>
      </w:r>
    </w:p>
    <w:p w:rsidR="00F07D72" w:rsidRPr="00F07D72" w:rsidRDefault="00F07D72" w:rsidP="00F07D72">
      <w:pPr>
        <w:jc w:val="both"/>
        <w:rPr>
          <w:rFonts w:eastAsia="Calibri" w:cs="Times New Roman"/>
          <w:bCs/>
          <w:szCs w:val="24"/>
          <w:lang w:val="ru-RU"/>
        </w:rPr>
      </w:pPr>
      <w:r w:rsidRPr="00F07D72">
        <w:rPr>
          <w:rFonts w:eastAsia="Calibri" w:cs="Times New Roman"/>
          <w:bCs/>
          <w:szCs w:val="24"/>
          <w:lang w:val="ru-RU"/>
        </w:rPr>
        <w:t>Изпълнителят следва да представи индикативен опис на необходимите съоръжения, оборудване и техника за допустимите дейности от проекта по ОПОС 2014-2020 г., предвидени в идейния проект, които ще бъдат предмет на договор за доставка на оборудване.</w:t>
      </w:r>
    </w:p>
    <w:p w:rsidR="00F07D72" w:rsidRPr="00F07D72" w:rsidRDefault="00F07D72" w:rsidP="00F07D72">
      <w:pPr>
        <w:keepNext/>
        <w:keepLines/>
        <w:spacing w:before="200" w:after="160" w:line="259" w:lineRule="auto"/>
        <w:ind w:left="900"/>
        <w:jc w:val="both"/>
        <w:outlineLvl w:val="2"/>
        <w:rPr>
          <w:rFonts w:eastAsia="MS Gothic" w:cs="Times New Roman"/>
          <w:b/>
          <w:bCs/>
          <w:szCs w:val="24"/>
          <w:lang w:val="ru-RU" w:eastAsia="bg-BG"/>
        </w:rPr>
      </w:pPr>
      <w:bookmarkStart w:id="12" w:name="_Toc445756132"/>
      <w:r w:rsidRPr="00F07D72">
        <w:rPr>
          <w:rFonts w:eastAsia="MS Gothic" w:cs="Times New Roman"/>
          <w:b/>
          <w:bCs/>
          <w:szCs w:val="24"/>
          <w:lang w:val="ru-RU" w:eastAsia="bg-BG"/>
        </w:rPr>
        <w:t>Дейност 3 Финансов и/или икономически анализ на избраното решение/я</w:t>
      </w:r>
      <w:bookmarkEnd w:id="12"/>
    </w:p>
    <w:p w:rsidR="00F07D72" w:rsidRPr="00F07D72" w:rsidRDefault="00F07D72" w:rsidP="00F07D72">
      <w:pPr>
        <w:ind w:firstLine="357"/>
        <w:jc w:val="both"/>
        <w:rPr>
          <w:rFonts w:eastAsia="Calibri" w:cs="Times New Roman"/>
          <w:szCs w:val="24"/>
        </w:rPr>
      </w:pPr>
      <w:r w:rsidRPr="00F07D72">
        <w:rPr>
          <w:rFonts w:eastAsia="Calibri" w:cs="Times New Roman"/>
          <w:szCs w:val="24"/>
        </w:rPr>
        <w:t>Към проектното предложение, описано по-горе, Изпълнителят на настоящата обществена поръчка следва да изготви и приложи Анализ разходи-ползи.</w:t>
      </w:r>
    </w:p>
    <w:p w:rsidR="00F07D72" w:rsidRPr="00F07D72" w:rsidRDefault="00F07D72" w:rsidP="00F07D72">
      <w:pPr>
        <w:ind w:firstLine="357"/>
        <w:jc w:val="both"/>
        <w:rPr>
          <w:rFonts w:eastAsia="Calibri" w:cs="Times New Roman"/>
          <w:szCs w:val="24"/>
        </w:rPr>
      </w:pPr>
      <w:r w:rsidRPr="00F07D72">
        <w:rPr>
          <w:rFonts w:eastAsia="Calibri" w:cs="Times New Roman"/>
          <w:szCs w:val="24"/>
        </w:rPr>
        <w:t>Като основен източник на информация при изготвянето на Анализ разходи-ползи Изпълнителят трябва да използва методологията за изготвяне на АРП, подробно описана в „Ръководство за Анализ разходи-ползи на инвестиционни проекти 2014-2020 г.“, достъпна на следния електронен адрес:   (</w:t>
      </w:r>
      <w:hyperlink r:id="rId7" w:history="1">
        <w:r w:rsidRPr="00F07D72">
          <w:rPr>
            <w:rFonts w:eastAsia="Calibri" w:cs="Times New Roman"/>
            <w:color w:val="0000FF"/>
            <w:szCs w:val="24"/>
            <w:u w:val="single"/>
          </w:rPr>
          <w:t>http://ec.europa.eu/regional_policy/sources/docgener/studies/pdf/cba_guide.pdf</w:t>
        </w:r>
      </w:hyperlink>
      <w:r w:rsidRPr="00F07D72">
        <w:rPr>
          <w:rFonts w:eastAsia="Calibri" w:cs="Times New Roman"/>
          <w:szCs w:val="24"/>
        </w:rPr>
        <w:t>).</w:t>
      </w:r>
    </w:p>
    <w:p w:rsidR="00F07D72" w:rsidRPr="00F07D72" w:rsidRDefault="00F07D72" w:rsidP="00F07D72">
      <w:pPr>
        <w:ind w:firstLine="357"/>
        <w:jc w:val="both"/>
        <w:rPr>
          <w:rFonts w:eastAsia="Calibri" w:cs="Times New Roman"/>
          <w:szCs w:val="24"/>
        </w:rPr>
      </w:pPr>
    </w:p>
    <w:p w:rsidR="00F07D72" w:rsidRPr="00F07D72" w:rsidRDefault="00F07D72" w:rsidP="00F07D72">
      <w:pPr>
        <w:ind w:firstLine="357"/>
        <w:jc w:val="both"/>
        <w:rPr>
          <w:rFonts w:eastAsia="Calibri" w:cs="Times New Roman"/>
          <w:szCs w:val="24"/>
        </w:rPr>
      </w:pPr>
      <w:r w:rsidRPr="00F07D72">
        <w:rPr>
          <w:rFonts w:eastAsia="Calibri" w:cs="Times New Roman"/>
          <w:szCs w:val="24"/>
        </w:rPr>
        <w:t>При изготвянето на АРП Изпълнителят трябва да съобрази изискванията за определяне на нетни приходи по чл. 61 от Регламент 1303/2013 и разпоредбите на Постановление № 119 от 20 май 2014 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 – 2020 г.</w:t>
      </w:r>
    </w:p>
    <w:p w:rsidR="00F07D72" w:rsidRPr="00F07D72" w:rsidRDefault="00F07D72" w:rsidP="00F07D72">
      <w:pPr>
        <w:ind w:firstLine="357"/>
        <w:jc w:val="both"/>
        <w:rPr>
          <w:rFonts w:eastAsia="Calibri" w:cs="Times New Roman"/>
          <w:szCs w:val="24"/>
        </w:rPr>
      </w:pPr>
      <w:r w:rsidRPr="00F07D72">
        <w:rPr>
          <w:rFonts w:eastAsia="Calibri" w:cs="Times New Roman"/>
          <w:szCs w:val="24"/>
        </w:rPr>
        <w:t xml:space="preserve">Съгласно т. 6 от §1 на ДР на ПМС 119/2014 г. под „нетен приход“ следва да се разбират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w:t>
      </w:r>
      <w:r w:rsidRPr="00F07D72">
        <w:rPr>
          <w:rFonts w:eastAsia="Calibri" w:cs="Times New Roman"/>
          <w:szCs w:val="24"/>
        </w:rPr>
        <w:lastRenderedPageBreak/>
        <w:t>сгради, или плащанията за услуги минус всички оперативни разходи и разходи за подмяна на недълготрайно оборудване за съответния период.</w:t>
      </w:r>
    </w:p>
    <w:p w:rsidR="00F07D72" w:rsidRPr="00F07D72" w:rsidRDefault="00F07D72" w:rsidP="00F07D72">
      <w:pPr>
        <w:ind w:firstLine="357"/>
        <w:jc w:val="both"/>
        <w:rPr>
          <w:rFonts w:eastAsia="Calibri" w:cs="Times New Roman"/>
          <w:szCs w:val="24"/>
        </w:rPr>
      </w:pPr>
      <w:r w:rsidRPr="00F07D72">
        <w:rPr>
          <w:rFonts w:eastAsia="Calibri" w:cs="Times New Roman"/>
          <w:szCs w:val="24"/>
        </w:rPr>
        <w:t>Методът, по който следва да бъдат определени потенциалните нетни приходи от проектното предложение, трябва да следва разпоредбите на чл. 17, ал. 2, т .2 от ПМС 119/2014 г. (изчисляване на дисконтираните нетни приходи от операцията при отчитане на подходящия референтен период за сектора или подсектора, приложим за операцията, обичайно очакваната рентабилност за съответната категория инвестиция, прилагането на принципа „замърсителят плаща“ и ако е необходимо, съображенията за справедливост, свързани с относителния просперитет на съответната държава членка или регион).</w:t>
      </w:r>
    </w:p>
    <w:p w:rsidR="00F07D72" w:rsidRPr="00F07D72" w:rsidRDefault="00F07D72" w:rsidP="00F07D72">
      <w:pPr>
        <w:ind w:firstLine="357"/>
        <w:jc w:val="both"/>
        <w:rPr>
          <w:rFonts w:eastAsia="Calibri" w:cs="Times New Roman"/>
          <w:szCs w:val="24"/>
        </w:rPr>
      </w:pPr>
      <w:r w:rsidRPr="00F07D72">
        <w:rPr>
          <w:rFonts w:eastAsia="Calibri" w:cs="Times New Roman"/>
          <w:szCs w:val="24"/>
        </w:rPr>
        <w:t>Основната цел на дейността по изготвяне на АРП е да се изчислят размерът на финансовия дефицит, основните финансови показатели, да се гарантира финансовата устойчивост на проекта, както и социална поносимост.</w:t>
      </w:r>
    </w:p>
    <w:p w:rsidR="00F07D72" w:rsidRPr="00F07D72" w:rsidRDefault="00F07D72" w:rsidP="00F07D72">
      <w:pPr>
        <w:ind w:firstLine="357"/>
        <w:jc w:val="both"/>
        <w:rPr>
          <w:rFonts w:eastAsia="Calibri" w:cs="Times New Roman"/>
          <w:szCs w:val="24"/>
        </w:rPr>
      </w:pPr>
      <w:r w:rsidRPr="00F07D72">
        <w:rPr>
          <w:rFonts w:eastAsia="Calibri" w:cs="Times New Roman"/>
          <w:szCs w:val="24"/>
        </w:rPr>
        <w:t xml:space="preserve">Основните задачи са: да се докаже дали даден проект се нуждае от безвъзмездно финансиране (т.е. да оцени дали е печеливш от финансова гледна точка (financial profitability); при наличие на такава нужда – да се изчисли и да се докаже размера на необходимото безвъзмездно финансиране; да се провери финансовата устойчивост (financial sustainability) на проекта. </w:t>
      </w:r>
    </w:p>
    <w:p w:rsidR="00F07D72" w:rsidRPr="00F07D72" w:rsidRDefault="00F07D72" w:rsidP="00F07D72">
      <w:pPr>
        <w:ind w:firstLine="357"/>
        <w:jc w:val="both"/>
        <w:rPr>
          <w:rFonts w:eastAsia="Calibri" w:cs="Times New Roman"/>
          <w:szCs w:val="24"/>
        </w:rPr>
      </w:pPr>
      <w:r w:rsidRPr="00F07D72">
        <w:rPr>
          <w:rFonts w:eastAsia="Calibri" w:cs="Times New Roman"/>
          <w:szCs w:val="24"/>
        </w:rPr>
        <w:t>При анализа на устойчивостта на проекта Изпълнителят следва да има предвид източниците на финансиране на частта от инвестиционните разходи (допустими или недопустими), които няма да бъдат финансирани от ОПОС. Анализът трябва да се основава на реалистични данни и достоверна информация за наличното и привлеченото финансиране.</w:t>
      </w:r>
    </w:p>
    <w:p w:rsidR="00F07D72" w:rsidRPr="00F07D72" w:rsidRDefault="00F07D72" w:rsidP="00F07D72">
      <w:pPr>
        <w:ind w:firstLine="357"/>
        <w:jc w:val="both"/>
        <w:rPr>
          <w:rFonts w:eastAsia="Calibri" w:cs="Times New Roman"/>
          <w:szCs w:val="24"/>
        </w:rPr>
      </w:pPr>
      <w:r w:rsidRPr="00F07D72">
        <w:rPr>
          <w:rFonts w:eastAsia="Calibri" w:cs="Times New Roman"/>
          <w:szCs w:val="24"/>
        </w:rPr>
        <w:t>Изисквания към подготовката на Анализ разходи-ползи:</w:t>
      </w:r>
    </w:p>
    <w:p w:rsidR="00F07D72" w:rsidRPr="00F07D72" w:rsidRDefault="00F07D72" w:rsidP="00F07D72">
      <w:pPr>
        <w:ind w:left="720"/>
        <w:jc w:val="both"/>
        <w:rPr>
          <w:rFonts w:eastAsia="Calibri" w:cs="Times New Roman"/>
          <w:szCs w:val="24"/>
        </w:rPr>
      </w:pPr>
      <w:r w:rsidRPr="00F07D72">
        <w:rPr>
          <w:rFonts w:eastAsia="Calibri" w:cs="Times New Roman"/>
          <w:szCs w:val="24"/>
        </w:rPr>
        <w:t>1.</w:t>
      </w:r>
      <w:r w:rsidRPr="00F07D72">
        <w:rPr>
          <w:rFonts w:eastAsia="Calibri" w:cs="Times New Roman"/>
          <w:szCs w:val="24"/>
        </w:rPr>
        <w:tab/>
        <w:t>Изготвяне на анализа в съответствие със следните документи:</w:t>
      </w:r>
    </w:p>
    <w:p w:rsidR="00F07D72" w:rsidRPr="00F07D72" w:rsidRDefault="00F07D72" w:rsidP="00F07D72">
      <w:pPr>
        <w:ind w:left="720"/>
        <w:jc w:val="both"/>
        <w:rPr>
          <w:rFonts w:eastAsia="Calibri" w:cs="Times New Roman"/>
          <w:szCs w:val="24"/>
        </w:rPr>
      </w:pPr>
      <w:r w:rsidRPr="00F07D72">
        <w:rPr>
          <w:rFonts w:eastAsia="Calibri" w:cs="Times New Roman"/>
          <w:szCs w:val="24"/>
        </w:rPr>
        <w:t>•</w:t>
      </w:r>
      <w:r w:rsidRPr="00F07D72">
        <w:rPr>
          <w:rFonts w:eastAsia="Calibri" w:cs="Times New Roman"/>
          <w:szCs w:val="24"/>
        </w:rPr>
        <w:tab/>
        <w:t>Всички приложими ръководства за изготвяне на анализ по разходи – ползи на инвестиционни проекти на ЕК;</w:t>
      </w:r>
    </w:p>
    <w:p w:rsidR="00F07D72" w:rsidRPr="00F07D72" w:rsidRDefault="00F07D72" w:rsidP="00F07D72">
      <w:pPr>
        <w:ind w:left="720"/>
        <w:jc w:val="both"/>
        <w:rPr>
          <w:rFonts w:eastAsia="Calibri" w:cs="Times New Roman"/>
          <w:szCs w:val="24"/>
        </w:rPr>
      </w:pPr>
      <w:r w:rsidRPr="00F07D72">
        <w:rPr>
          <w:rFonts w:eastAsia="Calibri" w:cs="Times New Roman"/>
          <w:szCs w:val="24"/>
        </w:rPr>
        <w:t>•</w:t>
      </w:r>
      <w:r w:rsidRPr="00F07D72">
        <w:rPr>
          <w:rFonts w:eastAsia="Calibri" w:cs="Times New Roman"/>
          <w:szCs w:val="24"/>
        </w:rPr>
        <w:tab/>
        <w:t>Национални указания за изготвяне на анализ на разходите и ползите;</w:t>
      </w:r>
    </w:p>
    <w:p w:rsidR="00F07D72" w:rsidRPr="00F07D72" w:rsidRDefault="00F07D72" w:rsidP="00F07D72">
      <w:pPr>
        <w:ind w:left="720"/>
        <w:jc w:val="both"/>
        <w:rPr>
          <w:rFonts w:eastAsia="Calibri" w:cs="Times New Roman"/>
          <w:szCs w:val="24"/>
        </w:rPr>
      </w:pPr>
      <w:r w:rsidRPr="00F07D72">
        <w:rPr>
          <w:rFonts w:eastAsia="Calibri" w:cs="Times New Roman"/>
          <w:szCs w:val="24"/>
        </w:rPr>
        <w:t>•</w:t>
      </w:r>
      <w:r w:rsidRPr="00F07D72">
        <w:rPr>
          <w:rFonts w:eastAsia="Calibri" w:cs="Times New Roman"/>
          <w:szCs w:val="24"/>
        </w:rPr>
        <w:tab/>
        <w:t>Други приложими нормативни актове и документи, идентифицирани и/или публикувани по време на изготвянето на анализа.</w:t>
      </w:r>
    </w:p>
    <w:p w:rsidR="00F07D72" w:rsidRPr="00F07D72" w:rsidRDefault="00F07D72" w:rsidP="00F07D72">
      <w:pPr>
        <w:ind w:left="720"/>
        <w:jc w:val="both"/>
        <w:rPr>
          <w:rFonts w:eastAsia="Calibri" w:cs="Times New Roman"/>
          <w:szCs w:val="24"/>
        </w:rPr>
      </w:pPr>
      <w:r w:rsidRPr="00F07D72">
        <w:rPr>
          <w:rFonts w:eastAsia="Calibri" w:cs="Times New Roman"/>
          <w:szCs w:val="24"/>
        </w:rPr>
        <w:t>2.</w:t>
      </w:r>
      <w:r w:rsidRPr="00F07D72">
        <w:rPr>
          <w:rFonts w:eastAsia="Calibri" w:cs="Times New Roman"/>
          <w:szCs w:val="24"/>
        </w:rPr>
        <w:tab/>
        <w:t>Използване на диференциран (инкрементален) подход при пресмятане на реалните парични потоци с цел изчисляване на финансовите показатели на проекта, както и неговата финансова устойчивост;</w:t>
      </w:r>
    </w:p>
    <w:p w:rsidR="00F07D72" w:rsidRPr="00F07D72" w:rsidRDefault="00F07D72" w:rsidP="00F07D72">
      <w:pPr>
        <w:ind w:left="720"/>
        <w:jc w:val="both"/>
        <w:rPr>
          <w:rFonts w:eastAsia="Calibri" w:cs="Times New Roman"/>
          <w:szCs w:val="24"/>
        </w:rPr>
      </w:pPr>
      <w:r w:rsidRPr="00F07D72">
        <w:rPr>
          <w:rFonts w:eastAsia="Calibri" w:cs="Times New Roman"/>
          <w:szCs w:val="24"/>
        </w:rPr>
        <w:t>3.</w:t>
      </w:r>
      <w:r w:rsidRPr="00F07D72">
        <w:rPr>
          <w:rFonts w:eastAsia="Calibri" w:cs="Times New Roman"/>
          <w:szCs w:val="24"/>
        </w:rPr>
        <w:tab/>
        <w:t>Изготвяне на текстова част и финансов модел във формат Excel, който ще бъде достъпен за проверка на изчисленията без препратки към неприложени файлове и формат, позволяващ да се проследи логиката на направените изчисления;</w:t>
      </w:r>
    </w:p>
    <w:p w:rsidR="00F07D72" w:rsidRPr="00F07D72" w:rsidRDefault="00F07D72" w:rsidP="00F07D72">
      <w:pPr>
        <w:ind w:left="720"/>
        <w:jc w:val="both"/>
        <w:rPr>
          <w:rFonts w:eastAsia="Calibri" w:cs="Times New Roman"/>
          <w:szCs w:val="24"/>
        </w:rPr>
      </w:pPr>
      <w:r w:rsidRPr="00F07D72">
        <w:rPr>
          <w:rFonts w:eastAsia="Calibri" w:cs="Times New Roman"/>
          <w:szCs w:val="24"/>
        </w:rPr>
        <w:t>4.</w:t>
      </w:r>
      <w:r w:rsidRPr="00F07D72">
        <w:rPr>
          <w:rFonts w:eastAsia="Calibri" w:cs="Times New Roman"/>
          <w:szCs w:val="24"/>
        </w:rPr>
        <w:tab/>
        <w:t>Източници на информация – НОИ/ЕВРОСТАТ/други официални източници; възприетите и актуални макроикономически показатели.</w:t>
      </w:r>
    </w:p>
    <w:p w:rsidR="00F07D72" w:rsidRPr="00F07D72" w:rsidRDefault="00F07D72" w:rsidP="00F07D72">
      <w:pPr>
        <w:ind w:left="720"/>
        <w:jc w:val="both"/>
        <w:rPr>
          <w:rFonts w:eastAsia="Calibri" w:cs="Times New Roman"/>
          <w:szCs w:val="24"/>
        </w:rPr>
      </w:pPr>
      <w:r w:rsidRPr="00F07D72">
        <w:rPr>
          <w:rFonts w:eastAsia="Calibri" w:cs="Times New Roman"/>
          <w:szCs w:val="24"/>
        </w:rPr>
        <w:t>5.</w:t>
      </w:r>
      <w:r w:rsidRPr="00F07D72">
        <w:rPr>
          <w:rFonts w:eastAsia="Calibri" w:cs="Times New Roman"/>
          <w:szCs w:val="24"/>
        </w:rPr>
        <w:tab/>
        <w:t>Връзка на прогнозите в анализа с историческите данни.</w:t>
      </w:r>
    </w:p>
    <w:p w:rsidR="00F07D72" w:rsidRPr="00F07D72" w:rsidRDefault="00F07D72" w:rsidP="00F07D72">
      <w:pPr>
        <w:ind w:left="720"/>
        <w:jc w:val="both"/>
        <w:rPr>
          <w:rFonts w:eastAsia="Calibri" w:cs="Times New Roman"/>
          <w:szCs w:val="24"/>
          <w:lang w:val="ru-RU"/>
        </w:rPr>
      </w:pPr>
    </w:p>
    <w:p w:rsidR="00F07D72" w:rsidRPr="00F07D72" w:rsidRDefault="00F07D72" w:rsidP="00F07D72">
      <w:pPr>
        <w:keepNext/>
        <w:keepLines/>
        <w:spacing w:before="200" w:after="160" w:line="259" w:lineRule="auto"/>
        <w:ind w:left="900"/>
        <w:jc w:val="both"/>
        <w:outlineLvl w:val="2"/>
        <w:rPr>
          <w:rFonts w:eastAsia="MS Gothic" w:cs="Times New Roman"/>
          <w:b/>
          <w:bCs/>
          <w:szCs w:val="24"/>
          <w:lang w:val="ru-RU" w:eastAsia="bg-BG"/>
        </w:rPr>
      </w:pPr>
      <w:bookmarkStart w:id="13" w:name="_Toc445756133"/>
      <w:r w:rsidRPr="00F07D72">
        <w:rPr>
          <w:rFonts w:eastAsia="MS Gothic" w:cs="Times New Roman"/>
          <w:b/>
          <w:bCs/>
          <w:szCs w:val="24"/>
          <w:lang w:val="ru-RU" w:eastAsia="bg-BG"/>
        </w:rPr>
        <w:t>Дейност 4 Правен анализ за съответствие на мерките от плана за действие с правилата за държавни помощи</w:t>
      </w:r>
      <w:bookmarkEnd w:id="13"/>
    </w:p>
    <w:p w:rsidR="00F07D72" w:rsidRPr="00F07D72" w:rsidRDefault="00F07D72" w:rsidP="00F07D72">
      <w:pPr>
        <w:ind w:firstLine="360"/>
        <w:jc w:val="both"/>
        <w:rPr>
          <w:rFonts w:eastAsia="Calibri" w:cs="Times New Roman"/>
          <w:szCs w:val="24"/>
        </w:rPr>
      </w:pPr>
      <w:r w:rsidRPr="00F07D72">
        <w:rPr>
          <w:rFonts w:eastAsia="Calibri" w:cs="Times New Roman"/>
          <w:szCs w:val="24"/>
        </w:rPr>
        <w:t xml:space="preserve">За инвестицията в изграждане на компостираща инсталация, която се предвижда да бъде финансирана със средства от ЕС следва да бъде изготвен правен анализ в областта на държавните помощи. Анализът следва да бъде изготвен в съответствие с приложимата европейска и българска нормативна уредба и трябва да представи условията, при които инвестицията и нейната експлоатация съответстват на правилата за държавните помощи. По-конкретно анализът следва да разгледа вариантите за съответстващо на правилата за държавни помощи възлагане на експлоатацията на компостиращата инсталация. В </w:t>
      </w:r>
      <w:r w:rsidRPr="00F07D72">
        <w:rPr>
          <w:rFonts w:eastAsia="Calibri" w:cs="Times New Roman"/>
          <w:szCs w:val="24"/>
        </w:rPr>
        <w:lastRenderedPageBreak/>
        <w:t xml:space="preserve">резултат от избрания вариант за експлоатация, следва да бъдат индивидуализирани изготвените от УО стандартизирани образци на документи (проекти на решение на общинския съвет за създаване на общинско предприятие, договор с дружество с общинско участие в капитала или договор за обществена поръчка), съобразени с изискванията за предоставяне на компенсация за извършване на УОИИ, посочени в Решение . </w:t>
      </w:r>
    </w:p>
    <w:p w:rsidR="00F07D72" w:rsidRPr="00F07D72" w:rsidRDefault="00F07D72" w:rsidP="00F07D72">
      <w:pPr>
        <w:keepNext/>
        <w:keepLines/>
        <w:spacing w:before="200" w:after="160" w:line="259" w:lineRule="auto"/>
        <w:ind w:left="540"/>
        <w:jc w:val="both"/>
        <w:outlineLvl w:val="2"/>
        <w:rPr>
          <w:rFonts w:eastAsia="MS Gothic" w:cs="Times New Roman"/>
          <w:b/>
          <w:bCs/>
          <w:szCs w:val="24"/>
          <w:lang w:val="ru-RU" w:eastAsia="bg-BG"/>
        </w:rPr>
      </w:pPr>
      <w:bookmarkStart w:id="14" w:name="_Toc445756134"/>
      <w:r w:rsidRPr="00F07D72">
        <w:rPr>
          <w:rFonts w:eastAsia="MS Gothic" w:cs="Times New Roman"/>
          <w:b/>
          <w:bCs/>
          <w:szCs w:val="24"/>
          <w:lang w:val="ru-RU" w:eastAsia="bg-BG"/>
        </w:rPr>
        <w:t>Дейност 5 Подготовка на тръжни документации</w:t>
      </w:r>
      <w:bookmarkEnd w:id="14"/>
    </w:p>
    <w:p w:rsidR="00F07D72" w:rsidRPr="00F07D72" w:rsidRDefault="00F07D72" w:rsidP="00F07D72">
      <w:pPr>
        <w:ind w:firstLine="360"/>
        <w:jc w:val="both"/>
        <w:rPr>
          <w:rFonts w:eastAsia="Calibri" w:cs="Times New Roman"/>
          <w:szCs w:val="24"/>
          <w:lang w:val="ru-RU" w:eastAsia="bg-BG"/>
        </w:rPr>
      </w:pPr>
      <w:r w:rsidRPr="00F07D72">
        <w:rPr>
          <w:rFonts w:eastAsia="Calibri" w:cs="Times New Roman"/>
          <w:szCs w:val="24"/>
          <w:lang w:val="ru-RU" w:eastAsia="bg-BG"/>
        </w:rPr>
        <w:t xml:space="preserve">Дейността включва изготвяне на пълен пакет документации, включително и технически спецификации, за откриване на процедурите за възлагане на обществените поръчки по проект, кандидатстващ за финансиране по процедура за предоставяне на безвъзмездна финансова помощ BG16M10P002-2.001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по Оперативна Програма „Околна Среда 2014-2020”, описани във формуляра за кандидатстване за финансиране в плана за външно възлагане и бюджета на проекта.  </w:t>
      </w:r>
    </w:p>
    <w:p w:rsidR="00F07D72" w:rsidRPr="00F07D72" w:rsidRDefault="00F07D72" w:rsidP="00F07D72">
      <w:pPr>
        <w:ind w:firstLine="360"/>
        <w:jc w:val="both"/>
        <w:rPr>
          <w:rFonts w:eastAsia="Calibri" w:cs="Times New Roman"/>
          <w:szCs w:val="24"/>
          <w:lang w:val="ru-RU" w:eastAsia="bg-BG"/>
        </w:rPr>
      </w:pPr>
      <w:r w:rsidRPr="00F07D72">
        <w:rPr>
          <w:rFonts w:eastAsia="Calibri" w:cs="Times New Roman"/>
          <w:szCs w:val="24"/>
          <w:lang w:val="ru-RU" w:eastAsia="bg-BG"/>
        </w:rPr>
        <w:t>Изпълнителят следва да изготви документации за възлагане на обществени поръчки по реда на ЗОП, както следва:</w:t>
      </w:r>
    </w:p>
    <w:p w:rsidR="00F07D72" w:rsidRPr="00F07D72" w:rsidRDefault="00F07D72" w:rsidP="00F07D72">
      <w:pPr>
        <w:jc w:val="both"/>
        <w:rPr>
          <w:rFonts w:eastAsia="Calibri" w:cs="Times New Roman"/>
          <w:szCs w:val="24"/>
          <w:lang w:val="ru-RU" w:eastAsia="bg-BG"/>
        </w:rPr>
      </w:pPr>
      <w:r w:rsidRPr="00F07D72">
        <w:rPr>
          <w:rFonts w:eastAsia="Calibri" w:cs="Times New Roman"/>
          <w:szCs w:val="24"/>
          <w:lang w:val="ru-RU" w:eastAsia="bg-BG"/>
        </w:rPr>
        <w:t>-</w:t>
      </w:r>
      <w:r w:rsidRPr="00F07D72">
        <w:rPr>
          <w:rFonts w:eastAsia="Calibri" w:cs="Times New Roman"/>
          <w:szCs w:val="24"/>
          <w:lang w:val="ru-RU" w:eastAsia="bg-BG"/>
        </w:rPr>
        <w:tab/>
        <w:t>За възлагане строителство на инженеринг на компостираща инсталация за разделно събрани зелени и/или биоразградими отпадъци и за строителство на съпътстващата я инфраструктура;</w:t>
      </w:r>
    </w:p>
    <w:p w:rsidR="00F07D72" w:rsidRPr="00F07D72" w:rsidRDefault="00F07D72" w:rsidP="00F07D72">
      <w:pPr>
        <w:jc w:val="both"/>
        <w:rPr>
          <w:rFonts w:eastAsia="Calibri" w:cs="Times New Roman"/>
          <w:szCs w:val="24"/>
          <w:lang w:val="ru-RU" w:eastAsia="bg-BG"/>
        </w:rPr>
      </w:pPr>
      <w:r w:rsidRPr="00F07D72">
        <w:rPr>
          <w:rFonts w:eastAsia="Calibri" w:cs="Times New Roman"/>
          <w:szCs w:val="24"/>
          <w:lang w:val="ru-RU" w:eastAsia="bg-BG"/>
        </w:rPr>
        <w:t>-</w:t>
      </w:r>
      <w:r w:rsidRPr="00F07D72">
        <w:rPr>
          <w:rFonts w:eastAsia="Calibri" w:cs="Times New Roman"/>
          <w:szCs w:val="24"/>
          <w:lang w:val="ru-RU" w:eastAsia="bg-BG"/>
        </w:rPr>
        <w:tab/>
        <w:t>За доставка на оборудване, съоръжения и обзавеждане,  необходими за площадката на инсталацията за компостиране и на съпътстващата и довеждаща инфраструктура;</w:t>
      </w:r>
    </w:p>
    <w:p w:rsidR="00F07D72" w:rsidRPr="00F07D72" w:rsidRDefault="00F07D72" w:rsidP="00F07D72">
      <w:pPr>
        <w:jc w:val="both"/>
        <w:rPr>
          <w:rFonts w:eastAsia="Calibri" w:cs="Times New Roman"/>
          <w:szCs w:val="24"/>
          <w:lang w:val="ru-RU" w:eastAsia="bg-BG"/>
        </w:rPr>
      </w:pPr>
      <w:r w:rsidRPr="00F07D72">
        <w:rPr>
          <w:rFonts w:eastAsia="Calibri" w:cs="Times New Roman"/>
          <w:szCs w:val="24"/>
          <w:lang w:val="ru-RU" w:eastAsia="bg-BG"/>
        </w:rPr>
        <w:t>-</w:t>
      </w:r>
      <w:r w:rsidRPr="00F07D72">
        <w:rPr>
          <w:rFonts w:eastAsia="Calibri" w:cs="Times New Roman"/>
          <w:szCs w:val="24"/>
          <w:lang w:val="ru-RU" w:eastAsia="bg-BG"/>
        </w:rPr>
        <w:tab/>
        <w:t>За строителен надзор върху строителството на инженеринг на компостираща инсталация за разделно събрани зелени и/или биоразградими отпадъци и за строителство на съпътстващата я инфраструктура;</w:t>
      </w:r>
    </w:p>
    <w:p w:rsidR="00F07D72" w:rsidRPr="00F07D72" w:rsidRDefault="00F07D72" w:rsidP="00F07D72">
      <w:pPr>
        <w:jc w:val="both"/>
        <w:rPr>
          <w:rFonts w:eastAsia="Calibri" w:cs="Times New Roman"/>
          <w:szCs w:val="24"/>
          <w:lang w:val="ru-RU" w:eastAsia="bg-BG"/>
        </w:rPr>
      </w:pPr>
      <w:r w:rsidRPr="00F07D72">
        <w:rPr>
          <w:rFonts w:eastAsia="Calibri" w:cs="Times New Roman"/>
          <w:szCs w:val="24"/>
          <w:lang w:val="ru-RU" w:eastAsia="bg-BG"/>
        </w:rPr>
        <w:t>-</w:t>
      </w:r>
      <w:r w:rsidRPr="00F07D72">
        <w:rPr>
          <w:rFonts w:eastAsia="Calibri" w:cs="Times New Roman"/>
          <w:szCs w:val="24"/>
          <w:lang w:val="ru-RU" w:eastAsia="bg-BG"/>
        </w:rPr>
        <w:tab/>
        <w:t>За публичност и визуализация по проекта;</w:t>
      </w:r>
    </w:p>
    <w:p w:rsidR="00F07D72" w:rsidRPr="00F07D72" w:rsidRDefault="00F07D72" w:rsidP="00F07D72">
      <w:pPr>
        <w:jc w:val="both"/>
        <w:rPr>
          <w:rFonts w:eastAsia="Calibri" w:cs="Times New Roman"/>
          <w:szCs w:val="24"/>
          <w:lang w:val="ru-RU" w:eastAsia="bg-BG"/>
        </w:rPr>
      </w:pPr>
      <w:r w:rsidRPr="00F07D72">
        <w:rPr>
          <w:rFonts w:eastAsia="Calibri" w:cs="Times New Roman"/>
          <w:szCs w:val="24"/>
          <w:lang w:val="ru-RU" w:eastAsia="bg-BG"/>
        </w:rPr>
        <w:t>-</w:t>
      </w:r>
      <w:r w:rsidRPr="00F07D72">
        <w:rPr>
          <w:rFonts w:eastAsia="Calibri" w:cs="Times New Roman"/>
          <w:szCs w:val="24"/>
          <w:lang w:val="ru-RU" w:eastAsia="bg-BG"/>
        </w:rPr>
        <w:tab/>
        <w:t>За други в обхвата на заложеното във формуляра за кандидатстване.</w:t>
      </w:r>
    </w:p>
    <w:p w:rsidR="00F07D72" w:rsidRPr="00F07D72" w:rsidRDefault="00F07D72" w:rsidP="00F07D72">
      <w:pPr>
        <w:ind w:firstLine="360"/>
        <w:jc w:val="both"/>
        <w:rPr>
          <w:rFonts w:eastAsia="Calibri" w:cs="Times New Roman"/>
          <w:szCs w:val="24"/>
          <w:lang w:val="ru-RU" w:eastAsia="bg-BG"/>
        </w:rPr>
      </w:pPr>
      <w:r w:rsidRPr="00F07D72">
        <w:rPr>
          <w:rFonts w:eastAsia="Calibri" w:cs="Times New Roman"/>
          <w:szCs w:val="24"/>
          <w:lang w:val="ru-RU" w:eastAsia="bg-BG"/>
        </w:rPr>
        <w:t>При разработване на документациите следва да се спазят изискванията за изпълнение на договори, финансирани от Оперативна програма „Околна среда 2014-2020г.”, Насоките за кандидатстване по процедурата с публикуваните разяснения към тях и приложимото законодателство.</w:t>
      </w:r>
    </w:p>
    <w:p w:rsidR="00F07D72" w:rsidRPr="00F07D72" w:rsidRDefault="00F07D72" w:rsidP="00F07D72">
      <w:pPr>
        <w:ind w:firstLine="360"/>
        <w:jc w:val="both"/>
        <w:rPr>
          <w:rFonts w:eastAsia="Calibri" w:cs="Times New Roman"/>
          <w:szCs w:val="24"/>
          <w:lang w:val="ru-RU" w:eastAsia="bg-BG"/>
        </w:rPr>
      </w:pPr>
      <w:r w:rsidRPr="00F07D72">
        <w:rPr>
          <w:rFonts w:eastAsia="Calibri" w:cs="Times New Roman"/>
          <w:szCs w:val="24"/>
          <w:lang w:val="ru-RU" w:eastAsia="bg-BG"/>
        </w:rPr>
        <w:t xml:space="preserve">Документациите се представят на Възложителя на електронен и хартиен носител. </w:t>
      </w:r>
    </w:p>
    <w:p w:rsidR="00F07D72" w:rsidRPr="00F07D72" w:rsidRDefault="00F07D72" w:rsidP="00F07D72">
      <w:pPr>
        <w:jc w:val="both"/>
        <w:rPr>
          <w:rFonts w:eastAsia="Calibri" w:cs="Times New Roman"/>
          <w:bCs/>
          <w:szCs w:val="24"/>
        </w:rPr>
      </w:pPr>
    </w:p>
    <w:p w:rsidR="00F07D72" w:rsidRPr="00F07D72" w:rsidRDefault="00F07D72" w:rsidP="00F07D72">
      <w:pPr>
        <w:keepNext/>
        <w:spacing w:before="240" w:after="60"/>
        <w:outlineLvl w:val="1"/>
        <w:rPr>
          <w:rFonts w:eastAsia="Times New Roman" w:cs="Times New Roman"/>
          <w:b/>
          <w:bCs/>
          <w:iCs/>
          <w:sz w:val="28"/>
          <w:szCs w:val="28"/>
          <w:lang w:val="ru-RU"/>
        </w:rPr>
      </w:pPr>
      <w:bookmarkStart w:id="15" w:name="_Toc445756135"/>
      <w:r w:rsidRPr="00F07D72">
        <w:rPr>
          <w:rFonts w:eastAsia="Times New Roman" w:cs="Times New Roman"/>
          <w:b/>
          <w:bCs/>
          <w:iCs/>
          <w:sz w:val="28"/>
          <w:szCs w:val="28"/>
          <w:lang w:val="ru-RU"/>
        </w:rPr>
        <w:t>ІV. МАТЕРИАЛНА И ТЕХНИЧЕСКА ОСИГУРЕНОСТ</w:t>
      </w:r>
      <w:bookmarkEnd w:id="15"/>
    </w:p>
    <w:p w:rsidR="00F07D72" w:rsidRPr="00F07D72" w:rsidRDefault="00F07D72" w:rsidP="00F07D72">
      <w:pPr>
        <w:keepNext/>
        <w:spacing w:before="240" w:after="60"/>
        <w:outlineLvl w:val="1"/>
        <w:rPr>
          <w:rFonts w:eastAsia="Times New Roman" w:cs="Times New Roman"/>
          <w:b/>
          <w:bCs/>
          <w:iCs/>
          <w:sz w:val="28"/>
          <w:szCs w:val="28"/>
          <w:lang w:val="ru-RU"/>
        </w:rPr>
      </w:pPr>
    </w:p>
    <w:p w:rsidR="00F07D72" w:rsidRPr="00F07D72" w:rsidRDefault="00F07D72" w:rsidP="00F07D72">
      <w:pPr>
        <w:ind w:firstLine="360"/>
        <w:jc w:val="both"/>
        <w:rPr>
          <w:rFonts w:eastAsia="Calibri" w:cs="Times New Roman"/>
          <w:bCs/>
          <w:szCs w:val="24"/>
          <w:lang w:val="ru-RU"/>
        </w:rPr>
      </w:pPr>
      <w:r w:rsidRPr="00F07D72">
        <w:rPr>
          <w:rFonts w:eastAsia="Calibri" w:cs="Times New Roman"/>
          <w:bCs/>
          <w:szCs w:val="24"/>
          <w:lang w:val="ru-RU"/>
        </w:rPr>
        <w:tab/>
        <w:t>Всички разходи за техническо оборудване и обезпечаване изпълнението, офис и поддръжка, административни, секретарски, организационни услуги, експертен и технически персонал са за сметка на Изпълнителя. Изпълнителят следва да предвижда необходимите средства за финансово обезпечаване на договорните си дейности и да осигурява редовното и навременно заплащане на възнагражденията на неговите служители.</w:t>
      </w:r>
    </w:p>
    <w:p w:rsidR="00F07D72" w:rsidRPr="00F07D72" w:rsidRDefault="00F07D72" w:rsidP="00F07D72">
      <w:pPr>
        <w:rPr>
          <w:rFonts w:eastAsia="Calibri" w:cs="Times New Roman"/>
          <w:szCs w:val="24"/>
          <w:lang w:val="ru-RU"/>
        </w:rPr>
      </w:pPr>
    </w:p>
    <w:p w:rsidR="00F07D72" w:rsidRPr="00F07D72" w:rsidRDefault="00F07D72" w:rsidP="00F07D72">
      <w:pPr>
        <w:keepNext/>
        <w:spacing w:before="240" w:after="60"/>
        <w:outlineLvl w:val="1"/>
        <w:rPr>
          <w:rFonts w:eastAsia="Times New Roman" w:cs="Times New Roman"/>
          <w:b/>
          <w:bCs/>
          <w:iCs/>
          <w:sz w:val="28"/>
          <w:szCs w:val="28"/>
          <w:lang w:val="ru-RU"/>
        </w:rPr>
      </w:pPr>
      <w:bookmarkStart w:id="16" w:name="_Toc445756136"/>
      <w:r w:rsidRPr="00F07D72">
        <w:rPr>
          <w:rFonts w:eastAsia="Times New Roman" w:cs="Times New Roman"/>
          <w:b/>
          <w:bCs/>
          <w:iCs/>
          <w:sz w:val="28"/>
          <w:szCs w:val="28"/>
          <w:lang w:val="ru-RU"/>
        </w:rPr>
        <w:lastRenderedPageBreak/>
        <w:t>V. ПРИЕМАНЕ НА РАБОТАТА</w:t>
      </w:r>
      <w:bookmarkEnd w:id="16"/>
      <w:r w:rsidRPr="00F07D72">
        <w:rPr>
          <w:rFonts w:eastAsia="Times New Roman" w:cs="Times New Roman"/>
          <w:b/>
          <w:bCs/>
          <w:iCs/>
          <w:sz w:val="28"/>
          <w:szCs w:val="28"/>
          <w:lang w:val="ru-RU"/>
        </w:rPr>
        <w:t xml:space="preserve"> </w:t>
      </w:r>
    </w:p>
    <w:p w:rsidR="00F07D72" w:rsidRPr="00F07D72" w:rsidRDefault="00F07D72" w:rsidP="00F07D72">
      <w:pPr>
        <w:keepNext/>
        <w:spacing w:before="240" w:after="60"/>
        <w:outlineLvl w:val="1"/>
        <w:rPr>
          <w:rFonts w:eastAsia="Times New Roman" w:cs="Times New Roman"/>
          <w:b/>
          <w:bCs/>
          <w:iCs/>
          <w:sz w:val="28"/>
          <w:szCs w:val="28"/>
          <w:lang w:val="ru-RU"/>
        </w:rPr>
      </w:pPr>
    </w:p>
    <w:p w:rsidR="00F07D72" w:rsidRPr="00F07D72" w:rsidRDefault="00F07D72" w:rsidP="00F07D72">
      <w:pPr>
        <w:spacing w:after="120"/>
        <w:jc w:val="both"/>
        <w:rPr>
          <w:rFonts w:eastAsia="Calibri" w:cs="Times New Roman"/>
          <w:bCs/>
          <w:szCs w:val="24"/>
        </w:rPr>
      </w:pPr>
      <w:r w:rsidRPr="00F07D72">
        <w:rPr>
          <w:rFonts w:eastAsia="Calibri" w:cs="Times New Roman"/>
          <w:bCs/>
          <w:szCs w:val="24"/>
        </w:rPr>
        <w:t>Процедурата и сроковете за приемане и одобрение на работата по договора са съгласно разписаното в</w:t>
      </w:r>
      <w:r w:rsidRPr="00F07D72">
        <w:rPr>
          <w:rFonts w:eastAsia="Calibri" w:cs="Times New Roman"/>
          <w:b/>
          <w:color w:val="000000"/>
          <w:szCs w:val="24"/>
          <w:lang w:eastAsia="bg-BG"/>
        </w:rPr>
        <w:t xml:space="preserve"> </w:t>
      </w:r>
      <w:r w:rsidRPr="00F07D72">
        <w:rPr>
          <w:rFonts w:eastAsia="Calibri" w:cs="Times New Roman"/>
          <w:bCs/>
          <w:szCs w:val="24"/>
        </w:rPr>
        <w:t xml:space="preserve">раздел </w:t>
      </w:r>
      <w:r w:rsidRPr="00F07D72">
        <w:rPr>
          <w:rFonts w:eastAsia="Calibri" w:cs="Times New Roman"/>
          <w:color w:val="000000"/>
          <w:szCs w:val="24"/>
          <w:lang w:eastAsia="bg-BG"/>
        </w:rPr>
        <w:t>VI. ПРЕДАВАНЕ И ПРИЕМАНЕ НА ИЗПЪЛНЕНИЕТО от договора</w:t>
      </w:r>
      <w:r w:rsidRPr="00F07D72">
        <w:rPr>
          <w:rFonts w:eastAsia="Calibri" w:cs="Times New Roman"/>
          <w:bCs/>
          <w:szCs w:val="24"/>
        </w:rPr>
        <w:t xml:space="preserve">.   </w:t>
      </w:r>
    </w:p>
    <w:p w:rsidR="00F07D72" w:rsidRPr="00F07D72" w:rsidRDefault="00F07D72" w:rsidP="00F07D72">
      <w:pPr>
        <w:spacing w:after="120"/>
        <w:jc w:val="center"/>
        <w:rPr>
          <w:rFonts w:eastAsia="Calibri" w:cs="Times New Roman"/>
          <w:b/>
          <w:bCs/>
          <w:szCs w:val="24"/>
          <w:lang w:val="ru-RU"/>
        </w:rPr>
      </w:pPr>
    </w:p>
    <w:p w:rsidR="00F07D72" w:rsidRPr="00F07D72" w:rsidRDefault="00F07D72" w:rsidP="00F07D72">
      <w:pPr>
        <w:keepNext/>
        <w:spacing w:before="240" w:after="60"/>
        <w:outlineLvl w:val="1"/>
        <w:rPr>
          <w:rFonts w:eastAsia="Times New Roman" w:cs="Times New Roman"/>
          <w:b/>
          <w:bCs/>
          <w:iCs/>
          <w:sz w:val="28"/>
          <w:szCs w:val="28"/>
          <w:lang w:val="ru-RU"/>
        </w:rPr>
      </w:pPr>
      <w:bookmarkStart w:id="17" w:name="_Toc445756137"/>
      <w:r w:rsidRPr="00F07D72">
        <w:rPr>
          <w:rFonts w:eastAsia="Times New Roman" w:cs="Times New Roman"/>
          <w:b/>
          <w:bCs/>
          <w:iCs/>
          <w:sz w:val="28"/>
          <w:szCs w:val="28"/>
          <w:lang w:val="ru-RU"/>
        </w:rPr>
        <w:t>VI. СРОК ЗА ИЗПЪЛНЕНИЕ</w:t>
      </w:r>
      <w:bookmarkEnd w:id="17"/>
    </w:p>
    <w:p w:rsidR="00F07D72" w:rsidRPr="00F07D72" w:rsidRDefault="00F07D72" w:rsidP="00F07D72">
      <w:pPr>
        <w:keepNext/>
        <w:spacing w:before="240" w:after="60"/>
        <w:outlineLvl w:val="1"/>
        <w:rPr>
          <w:rFonts w:eastAsia="Times New Roman" w:cs="Times New Roman"/>
          <w:b/>
          <w:bCs/>
          <w:iCs/>
          <w:sz w:val="28"/>
          <w:szCs w:val="28"/>
          <w:lang w:val="ru-RU"/>
        </w:rPr>
      </w:pPr>
    </w:p>
    <w:p w:rsidR="00F07D72" w:rsidRPr="00F07D72" w:rsidRDefault="00F07D72" w:rsidP="00F07D72">
      <w:pPr>
        <w:autoSpaceDE w:val="0"/>
        <w:autoSpaceDN w:val="0"/>
        <w:adjustRightInd w:val="0"/>
        <w:jc w:val="both"/>
        <w:rPr>
          <w:rFonts w:eastAsia="Calibri" w:cs="Times New Roman"/>
          <w:b/>
          <w:bCs/>
          <w:szCs w:val="24"/>
          <w:lang w:val="ru-RU"/>
        </w:rPr>
      </w:pPr>
      <w:r w:rsidRPr="00F07D72">
        <w:rPr>
          <w:rFonts w:eastAsia="Calibri" w:cs="Times New Roman"/>
          <w:b/>
          <w:bCs/>
          <w:szCs w:val="24"/>
          <w:lang w:val="ru-RU"/>
        </w:rPr>
        <w:t>Максималният срок за изпълнение на поръчката в нейната цялост е до крайния срок за изпълнение на дейност 5.</w:t>
      </w:r>
    </w:p>
    <w:p w:rsidR="00F07D72" w:rsidRPr="00F07D72" w:rsidRDefault="00F07D72" w:rsidP="00F07D72">
      <w:pPr>
        <w:autoSpaceDE w:val="0"/>
        <w:autoSpaceDN w:val="0"/>
        <w:adjustRightInd w:val="0"/>
        <w:jc w:val="both"/>
        <w:rPr>
          <w:rFonts w:eastAsia="Calibri" w:cs="Times New Roman"/>
          <w:bCs/>
          <w:szCs w:val="24"/>
          <w:lang w:val="ru-RU"/>
        </w:rPr>
      </w:pPr>
      <w:r w:rsidRPr="00F07D72">
        <w:rPr>
          <w:rFonts w:eastAsia="Calibri" w:cs="Times New Roman"/>
          <w:bCs/>
          <w:szCs w:val="24"/>
          <w:lang w:val="ru-RU"/>
        </w:rPr>
        <w:t xml:space="preserve">Срокът за изпълнение на дейности 1, 2 и 3 изтича на 31.07.2016г. Срокът за подготовка на всяка документация за обществена поръчка в рамките на Дейност 5 е 60 дни от датата на възлагателно писмо за стартиране на подготовка </w:t>
      </w:r>
      <w:r w:rsidRPr="00F07D72">
        <w:rPr>
          <w:rFonts w:eastAsia="Calibri" w:cs="Times New Roman"/>
          <w:bCs/>
          <w:szCs w:val="24"/>
        </w:rPr>
        <w:t>на документацията,</w:t>
      </w:r>
      <w:r w:rsidRPr="00F07D72">
        <w:rPr>
          <w:rFonts w:eastAsia="Calibri" w:cs="Times New Roman"/>
          <w:bCs/>
          <w:szCs w:val="24"/>
          <w:lang w:val="ru-RU"/>
        </w:rPr>
        <w:t xml:space="preserve"> ведно с подписан приемо-предавателен протокол за предоставяне на изходните данни от страна на ВЪЗЛОЖИТЕЛЯ на ИЗПЪЛНИТЕЛЯ. </w:t>
      </w:r>
    </w:p>
    <w:p w:rsidR="00F07D72" w:rsidRPr="00F07D72" w:rsidRDefault="00F07D72" w:rsidP="00F07D72">
      <w:pPr>
        <w:autoSpaceDE w:val="0"/>
        <w:autoSpaceDN w:val="0"/>
        <w:adjustRightInd w:val="0"/>
        <w:jc w:val="both"/>
        <w:rPr>
          <w:rFonts w:eastAsia="Calibri" w:cs="Times New Roman"/>
          <w:bCs/>
          <w:szCs w:val="24"/>
          <w:lang w:val="ru-RU"/>
        </w:rPr>
      </w:pPr>
      <w:r w:rsidRPr="00F07D72">
        <w:rPr>
          <w:rFonts w:eastAsia="Calibri" w:cs="Times New Roman"/>
          <w:bCs/>
          <w:szCs w:val="24"/>
          <w:lang w:val="ru-RU"/>
        </w:rPr>
        <w:t>Крайният срок за изпълнение на дейности 4 и 5 продължават до изтичането на срока за изпълнение на поръчката.</w:t>
      </w:r>
    </w:p>
    <w:p w:rsidR="00F07D72" w:rsidRPr="00F07D72" w:rsidRDefault="00F07D72" w:rsidP="00F07D72">
      <w:pPr>
        <w:autoSpaceDE w:val="0"/>
        <w:autoSpaceDN w:val="0"/>
        <w:adjustRightInd w:val="0"/>
        <w:jc w:val="both"/>
        <w:rPr>
          <w:rFonts w:eastAsia="Calibri" w:cs="Times New Roman"/>
          <w:b/>
          <w:bCs/>
          <w:szCs w:val="24"/>
        </w:rPr>
      </w:pPr>
      <w:bookmarkStart w:id="18" w:name="_GoBack"/>
      <w:bookmarkEnd w:id="18"/>
    </w:p>
    <w:p w:rsidR="00F07D72" w:rsidRPr="00F07D72" w:rsidRDefault="00F07D72" w:rsidP="00F07D72">
      <w:pPr>
        <w:autoSpaceDE w:val="0"/>
        <w:autoSpaceDN w:val="0"/>
        <w:adjustRightInd w:val="0"/>
        <w:jc w:val="both"/>
        <w:rPr>
          <w:rFonts w:eastAsia="Calibri" w:cs="Times New Roman"/>
          <w:b/>
          <w:bCs/>
          <w:szCs w:val="24"/>
        </w:rPr>
      </w:pPr>
    </w:p>
    <w:p w:rsidR="00F07D72" w:rsidRPr="00F07D72" w:rsidRDefault="00F07D72" w:rsidP="00F07D72">
      <w:pPr>
        <w:autoSpaceDE w:val="0"/>
        <w:autoSpaceDN w:val="0"/>
        <w:adjustRightInd w:val="0"/>
        <w:jc w:val="both"/>
        <w:rPr>
          <w:rFonts w:eastAsia="Calibri" w:cs="Times New Roman"/>
          <w:b/>
          <w:bCs/>
          <w:szCs w:val="24"/>
        </w:rPr>
      </w:pPr>
    </w:p>
    <w:p w:rsidR="00570C83" w:rsidRDefault="00570C83" w:rsidP="00F07D72"/>
    <w:sectPr w:rsidR="00570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0A" w:rsidRDefault="00B2660A" w:rsidP="00F07D72">
      <w:r>
        <w:separator/>
      </w:r>
    </w:p>
  </w:endnote>
  <w:endnote w:type="continuationSeparator" w:id="0">
    <w:p w:rsidR="00B2660A" w:rsidRDefault="00B2660A" w:rsidP="00F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0A" w:rsidRDefault="00B2660A" w:rsidP="00F07D72">
      <w:r>
        <w:separator/>
      </w:r>
    </w:p>
  </w:footnote>
  <w:footnote w:type="continuationSeparator" w:id="0">
    <w:p w:rsidR="00B2660A" w:rsidRDefault="00B2660A" w:rsidP="00F07D72">
      <w:r>
        <w:continuationSeparator/>
      </w:r>
    </w:p>
  </w:footnote>
  <w:footnote w:id="1">
    <w:p w:rsidR="00F07D72" w:rsidRPr="006C16ED" w:rsidRDefault="00F07D72" w:rsidP="00F07D72">
      <w:pPr>
        <w:pStyle w:val="a3"/>
        <w:rPr>
          <w:lang w:val="bg-BG"/>
        </w:rPr>
      </w:pPr>
      <w:r>
        <w:rPr>
          <w:rStyle w:val="a5"/>
        </w:rPr>
        <w:footnoteRef/>
      </w:r>
      <w:r>
        <w:t xml:space="preserve"> </w:t>
      </w:r>
      <w:r w:rsidRPr="006C16ED">
        <w:t>http://ope.moew.government.bg/bg/notice/noticedetail/from/noticecurrent/id/55/typeId/1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793F"/>
    <w:multiLevelType w:val="multilevel"/>
    <w:tmpl w:val="5DF618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B4C4A87"/>
    <w:multiLevelType w:val="hybridMultilevel"/>
    <w:tmpl w:val="A83C84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3DC57E59"/>
    <w:multiLevelType w:val="hybridMultilevel"/>
    <w:tmpl w:val="E18090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A6"/>
    <w:rsid w:val="00570C83"/>
    <w:rsid w:val="00B2660A"/>
    <w:rsid w:val="00DD06A6"/>
    <w:rsid w:val="00F07D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03D3-B06B-4FBB-978E-86C814D6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rsid w:val="00F07D72"/>
    <w:rPr>
      <w:rFonts w:eastAsia="Calibri" w:cs="Times New Roman"/>
      <w:sz w:val="20"/>
      <w:szCs w:val="20"/>
      <w:lang w:val="en-GB" w:eastAsia="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F07D72"/>
    <w:rPr>
      <w:rFonts w:eastAsia="Calibri" w:cs="Times New Roman"/>
      <w:sz w:val="20"/>
      <w:szCs w:val="20"/>
      <w:lang w:val="en-GB" w:eastAsia="bg-BG"/>
    </w:rPr>
  </w:style>
  <w:style w:type="character" w:styleId="a5">
    <w:name w:val="footnote reference"/>
    <w:aliases w:val="Footnote symbol"/>
    <w:rsid w:val="00F07D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regional_policy/sources/docgener/studies/pdf/cba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3372</Words>
  <Characters>19223</Characters>
  <Application>Microsoft Office Word</Application>
  <DocSecurity>0</DocSecurity>
  <Lines>160</Lines>
  <Paragraphs>45</Paragraphs>
  <ScaleCrop>false</ScaleCrop>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2016-07-14T07:00:00Z</dcterms:created>
  <dcterms:modified xsi:type="dcterms:W3CDTF">2016-07-14T07:02:00Z</dcterms:modified>
</cp:coreProperties>
</file>